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52CF6" w:rsidRDefault="00052CF6">
      <w:pPr>
        <w:adjustRightInd w:val="0"/>
        <w:snapToGrid w:val="0"/>
        <w:rPr>
          <w:rFonts w:ascii="黑体" w:eastAsia="黑体" w:hAnsi="黑体"/>
          <w:sz w:val="32"/>
          <w:szCs w:val="32"/>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2310FF">
      <w:pPr>
        <w:adjustRightInd w:val="0"/>
        <w:snapToGrid w:val="0"/>
        <w:jc w:val="center"/>
        <w:rPr>
          <w:rFonts w:ascii="仿宋" w:eastAsia="仿宋" w:hAnsi="仿宋"/>
          <w:snapToGrid w:val="0"/>
          <w:spacing w:val="20"/>
          <w:kern w:val="0"/>
          <w:sz w:val="52"/>
          <w:szCs w:val="52"/>
        </w:rPr>
      </w:pPr>
      <w:r>
        <w:rPr>
          <w:rFonts w:ascii="仿宋" w:eastAsia="仿宋" w:hAnsi="仿宋" w:hint="eastAsia"/>
          <w:snapToGrid w:val="0"/>
          <w:spacing w:val="20"/>
          <w:kern w:val="0"/>
          <w:sz w:val="52"/>
          <w:szCs w:val="52"/>
        </w:rPr>
        <w:t>中国</w:t>
      </w:r>
      <w:r w:rsidR="0040770F">
        <w:rPr>
          <w:rFonts w:ascii="仿宋" w:eastAsia="仿宋" w:hAnsi="仿宋" w:hint="eastAsia"/>
          <w:snapToGrid w:val="0"/>
          <w:spacing w:val="20"/>
          <w:kern w:val="0"/>
          <w:sz w:val="52"/>
          <w:szCs w:val="52"/>
        </w:rPr>
        <w:t>粮油学会团体标准</w:t>
      </w: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052CF6">
      <w:pPr>
        <w:adjustRightInd w:val="0"/>
        <w:snapToGrid w:val="0"/>
        <w:rPr>
          <w:rFonts w:ascii="宋体" w:eastAsia="宋体" w:hAnsi="宋体"/>
          <w:szCs w:val="21"/>
        </w:rPr>
      </w:pPr>
    </w:p>
    <w:p w:rsidR="00052CF6" w:rsidRDefault="0040770F">
      <w:pPr>
        <w:adjustRightInd w:val="0"/>
        <w:snapToGrid w:val="0"/>
        <w:jc w:val="center"/>
        <w:rPr>
          <w:rFonts w:ascii="黑体" w:eastAsia="黑体" w:hAnsi="黑体"/>
          <w:b/>
          <w:sz w:val="52"/>
          <w:szCs w:val="52"/>
        </w:rPr>
      </w:pPr>
      <w:r>
        <w:rPr>
          <w:rFonts w:ascii="黑体" w:eastAsia="黑体" w:hAnsi="黑体" w:hint="eastAsia"/>
          <w:b/>
          <w:sz w:val="52"/>
          <w:szCs w:val="52"/>
        </w:rPr>
        <w:t>迷迭香油</w:t>
      </w:r>
    </w:p>
    <w:p w:rsidR="00052CF6" w:rsidRDefault="0040770F">
      <w:pPr>
        <w:adjustRightInd w:val="0"/>
        <w:snapToGrid w:val="0"/>
        <w:spacing w:beforeLines="50" w:before="156"/>
        <w:jc w:val="center"/>
        <w:rPr>
          <w:rFonts w:ascii="仿宋" w:eastAsia="仿宋" w:hAnsi="仿宋"/>
          <w:b/>
          <w:sz w:val="44"/>
          <w:szCs w:val="44"/>
        </w:rPr>
      </w:pPr>
      <w:r>
        <w:rPr>
          <w:rFonts w:ascii="仿宋" w:eastAsia="仿宋" w:hAnsi="仿宋" w:hint="eastAsia"/>
          <w:b/>
          <w:sz w:val="44"/>
          <w:szCs w:val="44"/>
        </w:rPr>
        <w:t>（征求意见稿）</w:t>
      </w:r>
    </w:p>
    <w:p w:rsidR="00052CF6" w:rsidRDefault="0040770F">
      <w:pPr>
        <w:adjustRightInd w:val="0"/>
        <w:snapToGrid w:val="0"/>
        <w:spacing w:beforeLines="50" w:before="156"/>
        <w:jc w:val="center"/>
        <w:rPr>
          <w:rFonts w:ascii="宋体" w:eastAsia="宋体" w:hAnsi="宋体"/>
          <w:b/>
          <w:sz w:val="44"/>
          <w:szCs w:val="44"/>
        </w:rPr>
      </w:pPr>
      <w:r>
        <w:rPr>
          <w:rFonts w:ascii="仿宋" w:eastAsia="仿宋" w:hAnsi="仿宋" w:hint="eastAsia"/>
          <w:b/>
          <w:sz w:val="44"/>
          <w:szCs w:val="44"/>
        </w:rPr>
        <w:t>编制说明</w:t>
      </w: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40770F">
      <w:pPr>
        <w:adjustRightInd w:val="0"/>
        <w:snapToGrid w:val="0"/>
        <w:jc w:val="center"/>
        <w:rPr>
          <w:rFonts w:ascii="仿宋" w:eastAsia="仿宋" w:hAnsi="仿宋"/>
          <w:b/>
          <w:sz w:val="36"/>
          <w:szCs w:val="36"/>
        </w:rPr>
      </w:pPr>
      <w:r>
        <w:rPr>
          <w:rFonts w:ascii="仿宋" w:eastAsia="仿宋" w:hAnsi="仿宋" w:hint="eastAsia"/>
          <w:b/>
          <w:sz w:val="36"/>
          <w:szCs w:val="36"/>
        </w:rPr>
        <w:t>标准起草组</w:t>
      </w:r>
    </w:p>
    <w:p w:rsidR="00052CF6" w:rsidRDefault="0040770F">
      <w:pPr>
        <w:adjustRightInd w:val="0"/>
        <w:snapToGrid w:val="0"/>
        <w:spacing w:beforeLines="50" w:before="156"/>
        <w:jc w:val="center"/>
        <w:rPr>
          <w:rFonts w:ascii="Times New Roman" w:eastAsia="仿宋" w:hAnsi="Times New Roman" w:cs="Times New Roman"/>
          <w:b/>
          <w:szCs w:val="21"/>
        </w:rPr>
      </w:pPr>
      <w:r>
        <w:rPr>
          <w:rFonts w:ascii="Times New Roman" w:eastAsia="仿宋" w:hAnsi="Times New Roman" w:cs="Times New Roman"/>
          <w:b/>
          <w:sz w:val="36"/>
          <w:szCs w:val="36"/>
        </w:rPr>
        <w:t>20</w:t>
      </w:r>
      <w:r>
        <w:rPr>
          <w:rFonts w:ascii="Times New Roman" w:eastAsia="仿宋" w:hAnsi="Times New Roman" w:cs="Times New Roman" w:hint="eastAsia"/>
          <w:b/>
          <w:sz w:val="36"/>
          <w:szCs w:val="36"/>
        </w:rPr>
        <w:t>24</w:t>
      </w:r>
      <w:r>
        <w:rPr>
          <w:rFonts w:ascii="Times New Roman" w:eastAsia="仿宋" w:hAnsi="仿宋" w:cs="Times New Roman"/>
          <w:b/>
          <w:sz w:val="36"/>
          <w:szCs w:val="36"/>
        </w:rPr>
        <w:t>年</w:t>
      </w:r>
      <w:r>
        <w:rPr>
          <w:rFonts w:ascii="Times New Roman" w:eastAsia="仿宋" w:hAnsi="Times New Roman" w:cs="Times New Roman" w:hint="eastAsia"/>
          <w:b/>
          <w:sz w:val="36"/>
          <w:szCs w:val="36"/>
        </w:rPr>
        <w:t>1</w:t>
      </w:r>
      <w:r>
        <w:rPr>
          <w:rFonts w:ascii="Times New Roman" w:eastAsia="仿宋" w:hAnsi="仿宋" w:cs="Times New Roman"/>
          <w:b/>
          <w:sz w:val="36"/>
          <w:szCs w:val="36"/>
        </w:rPr>
        <w:t>月</w:t>
      </w: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rPr>
          <w:rFonts w:ascii="宋体" w:eastAsia="宋体" w:hAnsi="宋体"/>
          <w:b/>
          <w:szCs w:val="21"/>
        </w:rPr>
      </w:pPr>
    </w:p>
    <w:p w:rsidR="00052CF6" w:rsidRDefault="00052CF6">
      <w:pPr>
        <w:adjustRightInd w:val="0"/>
        <w:snapToGrid w:val="0"/>
        <w:jc w:val="left"/>
        <w:rPr>
          <w:rFonts w:ascii="宋体" w:eastAsia="宋体" w:hAnsi="宋体"/>
          <w:szCs w:val="21"/>
        </w:rPr>
      </w:pPr>
    </w:p>
    <w:p w:rsidR="00052CF6" w:rsidRDefault="00052CF6">
      <w:pPr>
        <w:adjustRightInd w:val="0"/>
        <w:snapToGrid w:val="0"/>
        <w:spacing w:line="360" w:lineRule="auto"/>
        <w:jc w:val="left"/>
        <w:rPr>
          <w:rFonts w:ascii="宋体" w:eastAsia="宋体" w:hAnsi="宋体"/>
          <w:sz w:val="24"/>
          <w:szCs w:val="24"/>
        </w:rPr>
      </w:pPr>
    </w:p>
    <w:p w:rsidR="00052CF6" w:rsidRDefault="0040770F">
      <w:pPr>
        <w:adjustRightInd w:val="0"/>
        <w:snapToGrid w:val="0"/>
        <w:spacing w:afterLines="50" w:after="156" w:line="360" w:lineRule="auto"/>
        <w:jc w:val="center"/>
        <w:rPr>
          <w:rFonts w:ascii="黑体" w:eastAsia="黑体" w:hAnsi="黑体"/>
          <w:sz w:val="32"/>
          <w:szCs w:val="32"/>
        </w:rPr>
      </w:pPr>
      <w:r>
        <w:rPr>
          <w:rFonts w:ascii="黑体" w:eastAsia="黑体" w:hAnsi="黑体" w:hint="eastAsia"/>
          <w:sz w:val="32"/>
          <w:szCs w:val="32"/>
        </w:rPr>
        <w:t>《迷迭香油》编制说明</w:t>
      </w:r>
    </w:p>
    <w:p w:rsidR="00052CF6" w:rsidRDefault="0040770F">
      <w:pPr>
        <w:adjustRightInd w:val="0"/>
        <w:snapToGrid w:val="0"/>
        <w:spacing w:beforeLines="100" w:before="312" w:line="360" w:lineRule="auto"/>
        <w:ind w:firstLineChars="200" w:firstLine="482"/>
        <w:jc w:val="left"/>
        <w:rPr>
          <w:rFonts w:ascii="宋体" w:eastAsia="宋体" w:hAnsi="宋体"/>
          <w:b/>
          <w:sz w:val="24"/>
          <w:szCs w:val="24"/>
        </w:rPr>
      </w:pPr>
      <w:r>
        <w:rPr>
          <w:rFonts w:ascii="宋体" w:eastAsia="宋体" w:hAnsi="宋体" w:hint="eastAsia"/>
          <w:b/>
          <w:sz w:val="24"/>
          <w:szCs w:val="24"/>
        </w:rPr>
        <w:t>1．</w:t>
      </w:r>
      <w:r>
        <w:rPr>
          <w:rFonts w:ascii="宋体" w:eastAsia="宋体" w:hAnsi="宋体"/>
          <w:b/>
          <w:sz w:val="24"/>
          <w:szCs w:val="24"/>
        </w:rPr>
        <w:t>工作简况</w:t>
      </w:r>
      <w:r>
        <w:rPr>
          <w:rFonts w:ascii="宋体" w:eastAsia="宋体" w:hAnsi="宋体" w:hint="eastAsia"/>
          <w:sz w:val="24"/>
          <w:szCs w:val="24"/>
        </w:rPr>
        <w:t>（包括任务来源、协作单位、</w:t>
      </w:r>
      <w:bookmarkStart w:id="0" w:name="_Hlk111477324"/>
      <w:r>
        <w:rPr>
          <w:rFonts w:ascii="宋体" w:eastAsia="宋体" w:hAnsi="宋体" w:hint="eastAsia"/>
          <w:sz w:val="24"/>
          <w:szCs w:val="24"/>
        </w:rPr>
        <w:t>主要工作过程</w:t>
      </w:r>
      <w:bookmarkEnd w:id="0"/>
      <w:r>
        <w:rPr>
          <w:rFonts w:ascii="宋体" w:eastAsia="宋体" w:hAnsi="宋体" w:hint="eastAsia"/>
          <w:sz w:val="24"/>
          <w:szCs w:val="24"/>
        </w:rPr>
        <w:t>、标准主要起草人及其所做的工作等）</w:t>
      </w:r>
    </w:p>
    <w:p w:rsidR="00052CF6" w:rsidRDefault="0040770F">
      <w:pPr>
        <w:adjustRightInd w:val="0"/>
        <w:snapToGrid w:val="0"/>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1.1 任务来源（包括</w:t>
      </w:r>
      <w:bookmarkStart w:id="1" w:name="_Hlk111477055"/>
      <w:r>
        <w:rPr>
          <w:rFonts w:ascii="宋体" w:eastAsia="宋体" w:hAnsi="宋体" w:hint="eastAsia"/>
          <w:b/>
          <w:sz w:val="24"/>
          <w:szCs w:val="24"/>
        </w:rPr>
        <w:t>标准下达计划</w:t>
      </w:r>
      <w:bookmarkEnd w:id="1"/>
      <w:r>
        <w:rPr>
          <w:rFonts w:ascii="宋体" w:eastAsia="宋体" w:hAnsi="宋体" w:hint="eastAsia"/>
          <w:b/>
          <w:sz w:val="24"/>
          <w:szCs w:val="24"/>
        </w:rPr>
        <w:t>、标准计划项目调整、</w:t>
      </w:r>
      <w:bookmarkStart w:id="2" w:name="_Hlk111477094"/>
      <w:r>
        <w:rPr>
          <w:rFonts w:ascii="宋体" w:eastAsia="宋体" w:hAnsi="宋体" w:hint="eastAsia"/>
          <w:b/>
          <w:sz w:val="24"/>
          <w:szCs w:val="24"/>
        </w:rPr>
        <w:t>标准制修订的背景、必要性和重要性</w:t>
      </w:r>
      <w:bookmarkEnd w:id="2"/>
      <w:r>
        <w:rPr>
          <w:rFonts w:ascii="宋体" w:eastAsia="宋体" w:hAnsi="宋体" w:hint="eastAsia"/>
          <w:b/>
          <w:sz w:val="24"/>
          <w:szCs w:val="24"/>
        </w:rPr>
        <w:t>）</w:t>
      </w:r>
    </w:p>
    <w:p w:rsidR="00052CF6" w:rsidRDefault="0040770F">
      <w:pPr>
        <w:adjustRightInd w:val="0"/>
        <w:snapToGrid w:val="0"/>
        <w:spacing w:line="360" w:lineRule="auto"/>
        <w:ind w:firstLineChars="200" w:firstLine="480"/>
        <w:jc w:val="left"/>
        <w:rPr>
          <w:rFonts w:hAnsi="宋体"/>
          <w:color w:val="000000"/>
          <w:kern w:val="0"/>
          <w:sz w:val="24"/>
        </w:rPr>
      </w:pPr>
      <w:r>
        <w:rPr>
          <w:rFonts w:hAnsi="宋体" w:hint="eastAsia"/>
          <w:color w:val="000000"/>
          <w:kern w:val="0"/>
          <w:sz w:val="24"/>
        </w:rPr>
        <w:t>《迷迭香油》团体标准是中国粮油学会提出。</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cs="Times New Roman" w:hint="eastAsia"/>
          <w:sz w:val="24"/>
          <w:szCs w:val="24"/>
        </w:rPr>
        <w:t xml:space="preserve">1.1.1 </w:t>
      </w:r>
      <w:r>
        <w:rPr>
          <w:rFonts w:ascii="宋体" w:eastAsia="宋体" w:hAnsi="宋体" w:hint="eastAsia"/>
          <w:sz w:val="24"/>
          <w:szCs w:val="24"/>
        </w:rPr>
        <w:t>标准下达计划（包括标准下达计划文件、标准名称、第一起草单位等）</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hint="eastAsia"/>
          <w:sz w:val="24"/>
          <w:szCs w:val="24"/>
        </w:rPr>
        <w:t>标准名称为</w:t>
      </w:r>
      <w:r>
        <w:rPr>
          <w:rFonts w:hAnsi="宋体" w:hint="eastAsia"/>
          <w:color w:val="000000"/>
          <w:kern w:val="0"/>
          <w:sz w:val="24"/>
        </w:rPr>
        <w:t>迷迭香油，第一起草单位为中南大学</w:t>
      </w:r>
      <w:r>
        <w:rPr>
          <w:rFonts w:ascii="宋体" w:eastAsia="宋体" w:hAnsi="宋体" w:hint="eastAsia"/>
          <w:sz w:val="24"/>
          <w:szCs w:val="24"/>
        </w:rPr>
        <w:t>。</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cs="Times New Roman" w:hint="eastAsia"/>
          <w:sz w:val="24"/>
          <w:szCs w:val="24"/>
        </w:rPr>
        <w:t xml:space="preserve">1.1.2 </w:t>
      </w:r>
      <w:r>
        <w:rPr>
          <w:rFonts w:ascii="宋体" w:eastAsia="宋体" w:hAnsi="宋体" w:hint="eastAsia"/>
          <w:sz w:val="24"/>
          <w:szCs w:val="24"/>
        </w:rPr>
        <w:t>标准计划项目调整（如有，请写明申请调整的具体内容、理由和依据等）</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hint="eastAsia"/>
          <w:sz w:val="24"/>
          <w:szCs w:val="24"/>
        </w:rPr>
        <w:t>无。</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sz w:val="24"/>
          <w:szCs w:val="24"/>
        </w:rPr>
        <w:t xml:space="preserve">1.1.3 </w:t>
      </w:r>
      <w:r>
        <w:rPr>
          <w:rFonts w:ascii="宋体" w:eastAsia="宋体" w:hAnsi="宋体" w:hint="eastAsia"/>
          <w:sz w:val="24"/>
          <w:szCs w:val="24"/>
        </w:rPr>
        <w:t>标准制修订的背景、必要性和重要性</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bCs/>
          <w:snapToGrid w:val="0"/>
          <w:sz w:val="24"/>
          <w:szCs w:val="24"/>
        </w:rPr>
        <w:t>迷迭香（</w:t>
      </w:r>
      <w:r>
        <w:rPr>
          <w:rFonts w:ascii="Times New Roman" w:eastAsia="宋体" w:hAnsi="Times New Roman" w:cs="Times New Roman"/>
          <w:bCs/>
          <w:i/>
          <w:iCs/>
          <w:snapToGrid w:val="0"/>
          <w:sz w:val="24"/>
          <w:szCs w:val="24"/>
        </w:rPr>
        <w:t>Rosmarinus officinalis</w:t>
      </w:r>
      <w:r>
        <w:rPr>
          <w:rFonts w:ascii="Times New Roman" w:eastAsia="宋体" w:hAnsi="Times New Roman" w:cs="Times New Roman"/>
          <w:bCs/>
          <w:snapToGrid w:val="0"/>
          <w:sz w:val="24"/>
          <w:szCs w:val="24"/>
        </w:rPr>
        <w:t xml:space="preserve"> L.</w:t>
      </w:r>
      <w:r>
        <w:rPr>
          <w:rFonts w:ascii="Times New Roman" w:eastAsia="宋体" w:hAnsi="Times New Roman" w:cs="Times New Roman"/>
          <w:bCs/>
          <w:snapToGrid w:val="0"/>
          <w:sz w:val="24"/>
          <w:szCs w:val="24"/>
        </w:rPr>
        <w:t>）为唇形科迷迭香属植物，多年生常绿灌木，原产于欧洲及非洲地中海沿岸。自然分布在欧洲南部、非洲北部、亚洲西部。三国时期，迷迭香自西域引入我国；</w:t>
      </w:r>
      <w:r>
        <w:rPr>
          <w:rFonts w:ascii="Times New Roman" w:eastAsia="宋体" w:hAnsi="Times New Roman" w:cs="Times New Roman"/>
          <w:bCs/>
          <w:snapToGrid w:val="0"/>
          <w:sz w:val="24"/>
          <w:szCs w:val="24"/>
        </w:rPr>
        <w:t>1981</w:t>
      </w:r>
      <w:r>
        <w:rPr>
          <w:rFonts w:ascii="Times New Roman" w:eastAsia="宋体" w:hAnsi="Times New Roman" w:cs="Times New Roman"/>
          <w:bCs/>
          <w:snapToGrid w:val="0"/>
          <w:sz w:val="24"/>
          <w:szCs w:val="24"/>
        </w:rPr>
        <w:t>年中国科学院植物研究所作为香料作物从美国引进并试种成功，如今在贵州、云南、广西、海南、湖南、河南和福建等地均有种植。迷迭香的香味浓郁，是欧洲传统的民间药物，使用历史悠久，主要用于增强记忆、减轻头痛、防蚊驱虫等，在西餐饮食中牛排、土豆等料理以及烤制品经常使用。我国历史典籍中也多有记载，《海药本草》记载其</w:t>
      </w:r>
      <w:r>
        <w:rPr>
          <w:rFonts w:ascii="Times New Roman" w:eastAsia="宋体" w:hAnsi="Times New Roman" w:cs="Times New Roman"/>
          <w:bCs/>
          <w:snapToGrid w:val="0"/>
          <w:sz w:val="24"/>
          <w:szCs w:val="24"/>
        </w:rPr>
        <w:t>“</w:t>
      </w:r>
      <w:r>
        <w:rPr>
          <w:rFonts w:ascii="Times New Roman" w:eastAsia="宋体" w:hAnsi="Times New Roman" w:cs="Times New Roman"/>
          <w:bCs/>
          <w:snapToGrid w:val="0"/>
          <w:sz w:val="24"/>
          <w:szCs w:val="24"/>
        </w:rPr>
        <w:t>健胃、发汗、治头痛</w:t>
      </w:r>
      <w:r>
        <w:rPr>
          <w:rFonts w:ascii="Times New Roman" w:eastAsia="宋体" w:hAnsi="Times New Roman" w:cs="Times New Roman"/>
          <w:bCs/>
          <w:snapToGrid w:val="0"/>
          <w:sz w:val="24"/>
          <w:szCs w:val="24"/>
        </w:rPr>
        <w:t>”</w:t>
      </w:r>
      <w:r>
        <w:rPr>
          <w:rFonts w:ascii="Times New Roman" w:eastAsia="宋体" w:hAnsi="Times New Roman" w:cs="Times New Roman"/>
          <w:bCs/>
          <w:snapToGrid w:val="0"/>
          <w:sz w:val="24"/>
          <w:szCs w:val="24"/>
        </w:rPr>
        <w:t>；《本草拾遗》记载</w:t>
      </w:r>
      <w:r>
        <w:rPr>
          <w:rFonts w:ascii="Times New Roman" w:eastAsia="宋体" w:hAnsi="Times New Roman" w:cs="Times New Roman"/>
          <w:bCs/>
          <w:snapToGrid w:val="0"/>
          <w:sz w:val="24"/>
          <w:szCs w:val="24"/>
        </w:rPr>
        <w:t>:“</w:t>
      </w:r>
      <w:r>
        <w:rPr>
          <w:rFonts w:ascii="Times New Roman" w:eastAsia="宋体" w:hAnsi="Times New Roman" w:cs="Times New Roman"/>
          <w:bCs/>
          <w:snapToGrid w:val="0"/>
          <w:sz w:val="24"/>
          <w:szCs w:val="24"/>
        </w:rPr>
        <w:t>迷迭香，辛，温，无毒，主恶气</w:t>
      </w:r>
      <w:r>
        <w:rPr>
          <w:rFonts w:ascii="Times New Roman" w:eastAsia="宋体" w:hAnsi="Times New Roman" w:cs="Times New Roman"/>
          <w:bCs/>
          <w:snapToGrid w:val="0"/>
          <w:sz w:val="24"/>
          <w:szCs w:val="24"/>
        </w:rPr>
        <w:t>”</w:t>
      </w:r>
      <w:r>
        <w:rPr>
          <w:rFonts w:ascii="Times New Roman" w:eastAsia="宋体" w:hAnsi="Times New Roman" w:cs="Times New Roman"/>
          <w:bCs/>
          <w:snapToGrid w:val="0"/>
          <w:sz w:val="24"/>
          <w:szCs w:val="24"/>
        </w:rPr>
        <w:t>。</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bCs/>
          <w:snapToGrid w:val="0"/>
          <w:sz w:val="24"/>
          <w:szCs w:val="24"/>
        </w:rPr>
        <w:t>迷迭香提取物</w:t>
      </w:r>
      <w:r>
        <w:rPr>
          <w:rFonts w:ascii="Times New Roman" w:eastAsia="宋体" w:hAnsi="Times New Roman" w:cs="Times New Roman" w:hint="eastAsia"/>
          <w:bCs/>
          <w:snapToGrid w:val="0"/>
          <w:sz w:val="24"/>
          <w:szCs w:val="24"/>
        </w:rPr>
        <w:t>作为</w:t>
      </w:r>
      <w:r>
        <w:rPr>
          <w:rFonts w:ascii="Times New Roman" w:eastAsia="宋体" w:hAnsi="Times New Roman" w:cs="Times New Roman"/>
          <w:bCs/>
          <w:snapToGrid w:val="0"/>
          <w:sz w:val="24"/>
          <w:szCs w:val="24"/>
        </w:rPr>
        <w:t>一种天然抗氧化剂，因其相对强大的抗氧化能力，于</w:t>
      </w:r>
      <w:r>
        <w:rPr>
          <w:rFonts w:ascii="Times New Roman" w:eastAsia="宋体" w:hAnsi="Times New Roman" w:cs="Times New Roman"/>
          <w:bCs/>
          <w:snapToGrid w:val="0"/>
          <w:sz w:val="24"/>
          <w:szCs w:val="24"/>
        </w:rPr>
        <w:t>1994</w:t>
      </w:r>
      <w:r>
        <w:rPr>
          <w:rFonts w:ascii="Times New Roman" w:eastAsia="宋体" w:hAnsi="Times New Roman" w:cs="Times New Roman"/>
          <w:bCs/>
          <w:snapToGrid w:val="0"/>
          <w:sz w:val="24"/>
          <w:szCs w:val="24"/>
        </w:rPr>
        <w:t>年通过美国食品及药品监督局（</w:t>
      </w:r>
      <w:r>
        <w:rPr>
          <w:rFonts w:ascii="Times New Roman" w:eastAsia="宋体" w:hAnsi="Times New Roman" w:cs="Times New Roman"/>
          <w:bCs/>
          <w:snapToGrid w:val="0"/>
          <w:sz w:val="24"/>
          <w:szCs w:val="24"/>
        </w:rPr>
        <w:t>FDA</w:t>
      </w:r>
      <w:r>
        <w:rPr>
          <w:rFonts w:ascii="Times New Roman" w:eastAsia="宋体" w:hAnsi="Times New Roman" w:cs="Times New Roman"/>
          <w:bCs/>
          <w:snapToGrid w:val="0"/>
          <w:sz w:val="24"/>
          <w:szCs w:val="24"/>
        </w:rPr>
        <w:t>）的</w:t>
      </w:r>
      <w:r>
        <w:rPr>
          <w:rFonts w:ascii="Times New Roman" w:eastAsia="宋体" w:hAnsi="Times New Roman" w:cs="Times New Roman"/>
          <w:bCs/>
          <w:snapToGrid w:val="0"/>
          <w:sz w:val="24"/>
          <w:szCs w:val="24"/>
        </w:rPr>
        <w:t xml:space="preserve"> GRAS </w:t>
      </w:r>
      <w:r>
        <w:rPr>
          <w:rFonts w:ascii="Times New Roman" w:eastAsia="宋体" w:hAnsi="Times New Roman" w:cs="Times New Roman"/>
          <w:bCs/>
          <w:snapToGrid w:val="0"/>
          <w:sz w:val="24"/>
          <w:szCs w:val="24"/>
        </w:rPr>
        <w:t>认证，认为是没有安全风险、可以推荐使用的天然抗氧化剂；迷迭香提取物于</w:t>
      </w:r>
      <w:r>
        <w:rPr>
          <w:rFonts w:ascii="Times New Roman" w:eastAsia="宋体" w:hAnsi="Times New Roman" w:cs="Times New Roman"/>
          <w:bCs/>
          <w:snapToGrid w:val="0"/>
          <w:sz w:val="24"/>
          <w:szCs w:val="24"/>
        </w:rPr>
        <w:t>2010</w:t>
      </w:r>
      <w:r>
        <w:rPr>
          <w:rFonts w:ascii="Times New Roman" w:eastAsia="宋体" w:hAnsi="Times New Roman" w:cs="Times New Roman"/>
          <w:bCs/>
          <w:snapToGrid w:val="0"/>
          <w:sz w:val="24"/>
          <w:szCs w:val="24"/>
        </w:rPr>
        <w:t>年已在欧洲食品安全局（</w:t>
      </w:r>
      <w:r>
        <w:rPr>
          <w:rFonts w:ascii="Times New Roman" w:eastAsia="宋体" w:hAnsi="Times New Roman" w:cs="Times New Roman"/>
          <w:bCs/>
          <w:snapToGrid w:val="0"/>
          <w:sz w:val="24"/>
          <w:szCs w:val="24"/>
        </w:rPr>
        <w:t>EFSA</w:t>
      </w:r>
      <w:r>
        <w:rPr>
          <w:rFonts w:ascii="Times New Roman" w:eastAsia="宋体" w:hAnsi="Times New Roman" w:cs="Times New Roman"/>
          <w:bCs/>
          <w:snapToGrid w:val="0"/>
          <w:sz w:val="24"/>
          <w:szCs w:val="24"/>
        </w:rPr>
        <w:t>）进行了审查，符合第</w:t>
      </w:r>
      <w:r>
        <w:rPr>
          <w:rFonts w:ascii="Times New Roman" w:eastAsia="宋体" w:hAnsi="Times New Roman" w:cs="Times New Roman"/>
          <w:bCs/>
          <w:snapToGrid w:val="0"/>
          <w:sz w:val="24"/>
          <w:szCs w:val="24"/>
        </w:rPr>
        <w:t>231/2012</w:t>
      </w:r>
      <w:r>
        <w:rPr>
          <w:rFonts w:ascii="Times New Roman" w:eastAsia="宋体" w:hAnsi="Times New Roman" w:cs="Times New Roman"/>
          <w:bCs/>
          <w:snapToGrid w:val="0"/>
          <w:sz w:val="24"/>
          <w:szCs w:val="24"/>
        </w:rPr>
        <w:t>号委员会条例（</w:t>
      </w:r>
      <w:r>
        <w:rPr>
          <w:rFonts w:ascii="Times New Roman" w:eastAsia="宋体" w:hAnsi="Times New Roman" w:cs="Times New Roman"/>
          <w:bCs/>
          <w:snapToGrid w:val="0"/>
          <w:sz w:val="24"/>
          <w:szCs w:val="24"/>
        </w:rPr>
        <w:t>EU</w:t>
      </w:r>
      <w:r>
        <w:rPr>
          <w:rFonts w:ascii="Times New Roman" w:eastAsia="宋体" w:hAnsi="Times New Roman" w:cs="Times New Roman"/>
          <w:bCs/>
          <w:snapToGrid w:val="0"/>
          <w:sz w:val="24"/>
          <w:szCs w:val="24"/>
        </w:rPr>
        <w:t>）规定的适当食品级规范，</w:t>
      </w:r>
      <w:r>
        <w:rPr>
          <w:rFonts w:ascii="Times New Roman" w:eastAsia="宋体" w:hAnsi="Times New Roman" w:cs="Times New Roman"/>
          <w:bCs/>
          <w:snapToGrid w:val="0"/>
          <w:sz w:val="24"/>
          <w:szCs w:val="24"/>
        </w:rPr>
        <w:t>WHO</w:t>
      </w:r>
      <w:r>
        <w:rPr>
          <w:rFonts w:ascii="Times New Roman" w:eastAsia="宋体" w:hAnsi="Times New Roman" w:cs="Times New Roman"/>
          <w:bCs/>
          <w:snapToGrid w:val="0"/>
          <w:sz w:val="24"/>
          <w:szCs w:val="24"/>
        </w:rPr>
        <w:t>于</w:t>
      </w:r>
      <w:r>
        <w:rPr>
          <w:rFonts w:ascii="Times New Roman" w:eastAsia="宋体" w:hAnsi="Times New Roman" w:cs="Times New Roman"/>
          <w:bCs/>
          <w:snapToGrid w:val="0"/>
          <w:sz w:val="24"/>
          <w:szCs w:val="24"/>
        </w:rPr>
        <w:t>2016</w:t>
      </w:r>
      <w:r>
        <w:rPr>
          <w:rFonts w:ascii="Times New Roman" w:eastAsia="宋体" w:hAnsi="Times New Roman" w:cs="Times New Roman"/>
          <w:bCs/>
          <w:snapToGrid w:val="0"/>
          <w:sz w:val="24"/>
          <w:szCs w:val="24"/>
        </w:rPr>
        <w:t>年公布了迷迭香提取物可用于食用植物油的抗氧化，我国食品添加剂使用标准（</w:t>
      </w:r>
      <w:r>
        <w:rPr>
          <w:rFonts w:ascii="Times New Roman" w:eastAsia="宋体" w:hAnsi="Times New Roman" w:cs="Times New Roman"/>
          <w:bCs/>
          <w:snapToGrid w:val="0"/>
          <w:sz w:val="24"/>
          <w:szCs w:val="24"/>
        </w:rPr>
        <w:t>GB2760-2014</w:t>
      </w:r>
      <w:r>
        <w:rPr>
          <w:rFonts w:ascii="Times New Roman" w:eastAsia="宋体" w:hAnsi="Times New Roman" w:cs="Times New Roman"/>
          <w:bCs/>
          <w:snapToGrid w:val="0"/>
          <w:sz w:val="24"/>
          <w:szCs w:val="24"/>
        </w:rPr>
        <w:t>）允许使用迷迭香提取物作为抗氧化剂添加至动、植物油脂中。</w:t>
      </w:r>
      <w:r>
        <w:rPr>
          <w:rFonts w:ascii="Times New Roman" w:eastAsia="宋体" w:hAnsi="Times New Roman" w:cs="Times New Roman"/>
          <w:bCs/>
          <w:snapToGrid w:val="0"/>
          <w:sz w:val="24"/>
          <w:szCs w:val="24"/>
        </w:rPr>
        <w:t>2018</w:t>
      </w:r>
      <w:r>
        <w:rPr>
          <w:rFonts w:ascii="Times New Roman" w:eastAsia="宋体" w:hAnsi="Times New Roman" w:cs="Times New Roman"/>
          <w:bCs/>
          <w:snapToGrid w:val="0"/>
          <w:sz w:val="24"/>
          <w:szCs w:val="24"/>
        </w:rPr>
        <w:t>年底，澳大利亚批准了迷迭香提取物可以作为食品添加剂抗氧化剂</w:t>
      </w:r>
      <w:r>
        <w:rPr>
          <w:rFonts w:ascii="Times New Roman" w:eastAsia="宋体" w:hAnsi="Times New Roman" w:cs="Times New Roman" w:hint="eastAsia"/>
          <w:bCs/>
          <w:snapToGrid w:val="0"/>
          <w:sz w:val="24"/>
          <w:szCs w:val="24"/>
        </w:rPr>
        <w:t>，</w:t>
      </w:r>
      <w:r>
        <w:rPr>
          <w:rFonts w:ascii="Times New Roman" w:eastAsia="宋体" w:hAnsi="Times New Roman" w:cs="Times New Roman"/>
          <w:bCs/>
          <w:snapToGrid w:val="0"/>
          <w:sz w:val="24"/>
          <w:szCs w:val="24"/>
        </w:rPr>
        <w:t>日本和欧盟等发达国家和地区已经在食用植物油及富油食品中使</w:t>
      </w:r>
      <w:r>
        <w:rPr>
          <w:rFonts w:ascii="Times New Roman" w:eastAsia="宋体" w:hAnsi="Times New Roman" w:cs="Times New Roman"/>
          <w:bCs/>
          <w:snapToGrid w:val="0"/>
          <w:sz w:val="24"/>
          <w:szCs w:val="24"/>
        </w:rPr>
        <w:lastRenderedPageBreak/>
        <w:t>用迷迭香提取物。</w:t>
      </w:r>
    </w:p>
    <w:p w:rsidR="00052CF6" w:rsidRDefault="0040770F">
      <w:pPr>
        <w:pStyle w:val="a8"/>
        <w:spacing w:line="360" w:lineRule="auto"/>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目前，</w:t>
      </w:r>
      <w:r>
        <w:rPr>
          <w:rFonts w:ascii="Times New Roman" w:eastAsia="宋体" w:hAnsi="Times New Roman" w:cs="Times New Roman" w:hint="eastAsia"/>
          <w:bCs/>
          <w:sz w:val="24"/>
          <w:szCs w:val="24"/>
        </w:rPr>
        <w:t>食用</w:t>
      </w:r>
      <w:r>
        <w:rPr>
          <w:rFonts w:ascii="Times New Roman" w:eastAsia="宋体" w:hAnsi="Times New Roman" w:cs="Times New Roman"/>
          <w:bCs/>
          <w:sz w:val="24"/>
          <w:szCs w:val="24"/>
        </w:rPr>
        <w:t>油</w:t>
      </w:r>
      <w:r>
        <w:rPr>
          <w:rFonts w:ascii="Times New Roman" w:eastAsia="宋体" w:hAnsi="Times New Roman" w:cs="Times New Roman" w:hint="eastAsia"/>
          <w:bCs/>
          <w:sz w:val="24"/>
          <w:szCs w:val="24"/>
        </w:rPr>
        <w:t>抗氧化</w:t>
      </w:r>
      <w:r>
        <w:rPr>
          <w:rFonts w:ascii="Times New Roman" w:eastAsia="宋体" w:hAnsi="Times New Roman" w:cs="Times New Roman"/>
          <w:bCs/>
          <w:sz w:val="24"/>
          <w:szCs w:val="24"/>
        </w:rPr>
        <w:t>主要通过充氮储存来减缓与空气接触或添加化学合成抗氧化剂进行保护，但充氮保护在包装打开使用一段时间后就会出现油脂氧化。</w:t>
      </w:r>
      <w:r>
        <w:rPr>
          <w:rFonts w:ascii="Times New Roman" w:eastAsia="宋体" w:hAnsi="Times New Roman" w:cs="Times New Roman" w:hint="eastAsia"/>
          <w:bCs/>
          <w:sz w:val="24"/>
          <w:szCs w:val="24"/>
        </w:rPr>
        <w:t>化学</w:t>
      </w:r>
      <w:r>
        <w:rPr>
          <w:rFonts w:ascii="Times New Roman" w:eastAsia="宋体" w:hAnsi="Times New Roman" w:cs="Times New Roman"/>
          <w:bCs/>
          <w:sz w:val="24"/>
          <w:szCs w:val="24"/>
        </w:rPr>
        <w:t>合成抗氧化剂如二丁基羟基甲苯</w:t>
      </w:r>
      <w:r>
        <w:rPr>
          <w:rFonts w:ascii="Times New Roman" w:eastAsia="宋体" w:hAnsi="Times New Roman" w:cs="Times New Roman"/>
          <w:bCs/>
          <w:sz w:val="24"/>
          <w:szCs w:val="24"/>
        </w:rPr>
        <w:t>(BHT)</w:t>
      </w:r>
      <w:r>
        <w:rPr>
          <w:rFonts w:ascii="Times New Roman" w:eastAsia="宋体" w:hAnsi="Times New Roman" w:cs="Times New Roman"/>
          <w:bCs/>
          <w:sz w:val="24"/>
          <w:szCs w:val="24"/>
        </w:rPr>
        <w:t>、叔丁基对苯二酚</w:t>
      </w:r>
      <w:r>
        <w:rPr>
          <w:rFonts w:ascii="Times New Roman" w:eastAsia="宋体" w:hAnsi="Times New Roman" w:cs="Times New Roman"/>
          <w:bCs/>
          <w:sz w:val="24"/>
          <w:szCs w:val="24"/>
        </w:rPr>
        <w:t>(TBHQ)</w:t>
      </w:r>
      <w:r>
        <w:rPr>
          <w:rFonts w:ascii="Times New Roman" w:eastAsia="宋体" w:hAnsi="Times New Roman" w:cs="Times New Roman"/>
          <w:bCs/>
          <w:sz w:val="24"/>
          <w:szCs w:val="24"/>
        </w:rPr>
        <w:t>、叔丁基羟基茴香醚</w:t>
      </w:r>
      <w:r>
        <w:rPr>
          <w:rFonts w:ascii="Times New Roman" w:eastAsia="宋体" w:hAnsi="Times New Roman" w:cs="Times New Roman"/>
          <w:bCs/>
          <w:sz w:val="24"/>
          <w:szCs w:val="24"/>
        </w:rPr>
        <w:t xml:space="preserve"> (BHA)</w:t>
      </w:r>
      <w:r>
        <w:rPr>
          <w:rFonts w:ascii="Times New Roman" w:eastAsia="宋体" w:hAnsi="Times New Roman" w:cs="Times New Roman"/>
          <w:bCs/>
          <w:sz w:val="24"/>
          <w:szCs w:val="24"/>
        </w:rPr>
        <w:t>、没食子酸丙酯</w:t>
      </w:r>
      <w:r>
        <w:rPr>
          <w:rFonts w:ascii="Times New Roman" w:eastAsia="宋体" w:hAnsi="Times New Roman" w:cs="Times New Roman"/>
          <w:bCs/>
          <w:sz w:val="24"/>
          <w:szCs w:val="24"/>
        </w:rPr>
        <w:t xml:space="preserve"> (PG)</w:t>
      </w:r>
      <w:r>
        <w:rPr>
          <w:rFonts w:ascii="Times New Roman" w:eastAsia="宋体" w:hAnsi="Times New Roman" w:cs="Times New Roman"/>
          <w:bCs/>
          <w:sz w:val="24"/>
          <w:szCs w:val="24"/>
        </w:rPr>
        <w:t>等，这些抗氧化剂虽价格低廉并有</w:t>
      </w:r>
      <w:r>
        <w:rPr>
          <w:rFonts w:ascii="Times New Roman" w:eastAsia="宋体" w:hAnsi="Times New Roman" w:cs="Times New Roman" w:hint="eastAsia"/>
          <w:bCs/>
          <w:sz w:val="24"/>
          <w:szCs w:val="24"/>
        </w:rPr>
        <w:t>较好的</w:t>
      </w:r>
      <w:r>
        <w:rPr>
          <w:rFonts w:ascii="Times New Roman" w:eastAsia="宋体" w:hAnsi="Times New Roman" w:cs="Times New Roman"/>
          <w:bCs/>
          <w:sz w:val="24"/>
          <w:szCs w:val="24"/>
        </w:rPr>
        <w:t>抗氧化效果，但其安全性受到质疑。</w:t>
      </w:r>
      <w:r>
        <w:rPr>
          <w:rFonts w:ascii="Times New Roman" w:eastAsia="宋体" w:hAnsi="Times New Roman" w:cs="Times New Roman" w:hint="eastAsia"/>
          <w:bCs/>
          <w:sz w:val="24"/>
          <w:szCs w:val="24"/>
        </w:rPr>
        <w:t>一些</w:t>
      </w:r>
      <w:r>
        <w:rPr>
          <w:rFonts w:ascii="Times New Roman" w:eastAsia="宋体" w:hAnsi="Times New Roman" w:cs="Times New Roman"/>
          <w:bCs/>
          <w:sz w:val="24"/>
          <w:szCs w:val="24"/>
        </w:rPr>
        <w:t>西方发达国家已对化学抗氧化剂进行限制，如日本于</w:t>
      </w:r>
      <w:r>
        <w:rPr>
          <w:rFonts w:ascii="Times New Roman" w:eastAsia="宋体" w:hAnsi="Times New Roman" w:cs="Times New Roman"/>
          <w:bCs/>
          <w:sz w:val="24"/>
          <w:szCs w:val="24"/>
        </w:rPr>
        <w:t>1981</w:t>
      </w:r>
      <w:r>
        <w:rPr>
          <w:rFonts w:ascii="Times New Roman" w:eastAsia="宋体" w:hAnsi="Times New Roman" w:cs="Times New Roman"/>
          <w:bCs/>
          <w:sz w:val="24"/>
          <w:szCs w:val="24"/>
        </w:rPr>
        <w:t>年发现</w:t>
      </w:r>
      <w:r>
        <w:rPr>
          <w:rFonts w:ascii="Times New Roman" w:eastAsia="宋体" w:hAnsi="Times New Roman" w:cs="Times New Roman"/>
          <w:bCs/>
          <w:sz w:val="24"/>
          <w:szCs w:val="24"/>
        </w:rPr>
        <w:t>BHA</w:t>
      </w:r>
      <w:r>
        <w:rPr>
          <w:rFonts w:ascii="Times New Roman" w:eastAsia="宋体" w:hAnsi="Times New Roman" w:cs="Times New Roman"/>
          <w:bCs/>
          <w:sz w:val="24"/>
          <w:szCs w:val="24"/>
        </w:rPr>
        <w:t>对大白鼠前胃有致癌作用</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1986</w:t>
      </w:r>
      <w:r>
        <w:rPr>
          <w:rFonts w:ascii="Times New Roman" w:eastAsia="宋体" w:hAnsi="Times New Roman" w:cs="Times New Roman"/>
          <w:bCs/>
          <w:sz w:val="24"/>
          <w:szCs w:val="24"/>
        </w:rPr>
        <w:t>年</w:t>
      </w:r>
      <w:r>
        <w:rPr>
          <w:rFonts w:ascii="Times New Roman" w:eastAsia="宋体" w:hAnsi="Times New Roman" w:cs="Times New Roman"/>
          <w:bCs/>
          <w:sz w:val="24"/>
          <w:szCs w:val="24"/>
        </w:rPr>
        <w:t>FAO/WHO</w:t>
      </w:r>
      <w:r>
        <w:rPr>
          <w:rFonts w:ascii="Times New Roman" w:eastAsia="宋体" w:hAnsi="Times New Roman" w:cs="Times New Roman"/>
          <w:bCs/>
          <w:sz w:val="24"/>
          <w:szCs w:val="24"/>
        </w:rPr>
        <w:t>曾报道对狗和猪在大剂量下可引起食道增生。</w:t>
      </w:r>
      <w:r>
        <w:rPr>
          <w:rFonts w:ascii="Times New Roman" w:eastAsia="宋体" w:hAnsi="Times New Roman" w:cs="Times New Roman"/>
          <w:bCs/>
          <w:sz w:val="24"/>
          <w:szCs w:val="24"/>
        </w:rPr>
        <w:t>BHT</w:t>
      </w:r>
      <w:r>
        <w:rPr>
          <w:rFonts w:ascii="Times New Roman" w:eastAsia="宋体" w:hAnsi="Times New Roman" w:cs="Times New Roman"/>
          <w:bCs/>
          <w:sz w:val="24"/>
          <w:szCs w:val="24"/>
        </w:rPr>
        <w:t>有抑制人体呼吸酶活性、使肝脏微粒体的酶活性增加等报道，并有一定的致癌作用，美国</w:t>
      </w:r>
      <w:r>
        <w:rPr>
          <w:rFonts w:ascii="Times New Roman" w:eastAsia="宋体" w:hAnsi="Times New Roman" w:cs="Times New Roman"/>
          <w:bCs/>
          <w:sz w:val="24"/>
          <w:szCs w:val="24"/>
        </w:rPr>
        <w:t>FDA</w:t>
      </w:r>
      <w:r>
        <w:rPr>
          <w:rFonts w:ascii="Times New Roman" w:eastAsia="宋体" w:hAnsi="Times New Roman" w:cs="Times New Roman"/>
          <w:bCs/>
          <w:sz w:val="24"/>
          <w:szCs w:val="24"/>
        </w:rPr>
        <w:t>一度禁用，在日本食品卫生法第</w:t>
      </w:r>
      <w:r>
        <w:rPr>
          <w:rFonts w:ascii="Times New Roman" w:eastAsia="宋体" w:hAnsi="Times New Roman" w:cs="Times New Roman"/>
          <w:bCs/>
          <w:sz w:val="24"/>
          <w:szCs w:val="24"/>
        </w:rPr>
        <w:t>10</w:t>
      </w:r>
      <w:r>
        <w:rPr>
          <w:rFonts w:ascii="Times New Roman" w:eastAsia="宋体" w:hAnsi="Times New Roman" w:cs="Times New Roman"/>
          <w:bCs/>
          <w:sz w:val="24"/>
          <w:szCs w:val="24"/>
        </w:rPr>
        <w:t>条中禁止在食品中添加</w:t>
      </w:r>
      <w:r>
        <w:rPr>
          <w:rFonts w:ascii="Times New Roman" w:eastAsia="宋体" w:hAnsi="Times New Roman" w:cs="Times New Roman"/>
          <w:bCs/>
          <w:sz w:val="24"/>
          <w:szCs w:val="24"/>
        </w:rPr>
        <w:t>TBHQ</w:t>
      </w:r>
      <w:r>
        <w:rPr>
          <w:rFonts w:ascii="Times New Roman" w:eastAsia="宋体" w:hAnsi="Times New Roman" w:cs="Times New Roman"/>
          <w:bCs/>
          <w:sz w:val="24"/>
          <w:szCs w:val="24"/>
        </w:rPr>
        <w:t>的规定。</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在人们日益关注健康、崇尚天然安全食品的今天，迷迭香抗氧化剂用于食用油脂抗氧化显得十分必要。目前众多研究表明其的食用油脂中抗氧化效果显著。</w:t>
      </w:r>
      <w:r>
        <w:rPr>
          <w:rFonts w:ascii="Times New Roman" w:eastAsia="宋体" w:hAnsi="Times New Roman" w:cs="Times New Roman"/>
          <w:bCs/>
          <w:snapToGrid w:val="0"/>
          <w:sz w:val="24"/>
          <w:szCs w:val="24"/>
        </w:rPr>
        <w:t>Yong Yang</w:t>
      </w:r>
      <w:r>
        <w:rPr>
          <w:rFonts w:ascii="Times New Roman" w:eastAsia="宋体" w:hAnsi="Times New Roman" w:cs="Times New Roman"/>
          <w:bCs/>
          <w:snapToGrid w:val="0"/>
          <w:sz w:val="24"/>
          <w:szCs w:val="24"/>
        </w:rPr>
        <w:t>等研究（</w:t>
      </w:r>
      <w:r>
        <w:rPr>
          <w:rFonts w:ascii="Times New Roman" w:eastAsia="宋体" w:hAnsi="Times New Roman" w:cs="Times New Roman"/>
          <w:bCs/>
          <w:i/>
          <w:iCs/>
          <w:snapToGrid w:val="0"/>
          <w:sz w:val="24"/>
          <w:szCs w:val="24"/>
        </w:rPr>
        <w:t>Industrial Crops and Products, 2016, 80</w:t>
      </w:r>
      <w:r>
        <w:rPr>
          <w:rFonts w:ascii="Times New Roman" w:eastAsia="宋体" w:hAnsi="Times New Roman" w:cs="Times New Roman"/>
          <w:bCs/>
          <w:snapToGrid w:val="0"/>
          <w:sz w:val="24"/>
          <w:szCs w:val="24"/>
        </w:rPr>
        <w:t>）表明迷迭香提取物加入到油中，通过提高抗氧化能力，降低过氧化值，延缓多不饱和脂肪酸降解，有效防止油脂氧化。</w:t>
      </w:r>
      <w:r>
        <w:rPr>
          <w:rFonts w:ascii="Times New Roman" w:eastAsia="宋体" w:hAnsi="Times New Roman" w:cs="Times New Roman"/>
          <w:bCs/>
          <w:snapToGrid w:val="0"/>
          <w:sz w:val="24"/>
          <w:szCs w:val="24"/>
        </w:rPr>
        <w:t>Dyana Odeh</w:t>
      </w:r>
      <w:r>
        <w:rPr>
          <w:rFonts w:ascii="Times New Roman" w:eastAsia="宋体" w:hAnsi="Times New Roman" w:cs="Times New Roman"/>
          <w:bCs/>
          <w:snapToGrid w:val="0"/>
          <w:sz w:val="24"/>
          <w:szCs w:val="24"/>
        </w:rPr>
        <w:t>等研究（</w:t>
      </w:r>
      <w:r>
        <w:rPr>
          <w:rFonts w:ascii="Times New Roman" w:eastAsia="宋体" w:hAnsi="Times New Roman" w:cs="Times New Roman"/>
          <w:bCs/>
          <w:i/>
          <w:iCs/>
          <w:snapToGrid w:val="0"/>
          <w:sz w:val="24"/>
          <w:szCs w:val="24"/>
        </w:rPr>
        <w:t>Antioxidants (Basel), 2021, 10(5)</w:t>
      </w:r>
      <w:r>
        <w:rPr>
          <w:rFonts w:ascii="Times New Roman" w:eastAsia="宋体" w:hAnsi="Times New Roman" w:cs="Times New Roman"/>
          <w:bCs/>
          <w:snapToGrid w:val="0"/>
          <w:sz w:val="24"/>
          <w:szCs w:val="24"/>
        </w:rPr>
        <w:t>）表明通过在亚麻籽油中添加迷迭香提取物，降低油中的过氧化值，使其表现更好的稳定性，延长亚麻籽油的保质期，在与其他提取物相比较时，迷迭香提取物表现出最高的抗氧化活性（</w:t>
      </w:r>
      <w:r>
        <w:rPr>
          <w:rFonts w:ascii="Times New Roman" w:eastAsia="宋体" w:hAnsi="Times New Roman" w:cs="Times New Roman"/>
          <w:bCs/>
          <w:snapToGrid w:val="0"/>
          <w:sz w:val="24"/>
          <w:szCs w:val="24"/>
        </w:rPr>
        <w:t>97.66%</w:t>
      </w:r>
      <w:r>
        <w:rPr>
          <w:rFonts w:ascii="Times New Roman" w:eastAsia="宋体" w:hAnsi="Times New Roman" w:cs="Times New Roman"/>
          <w:bCs/>
          <w:snapToGrid w:val="0"/>
          <w:sz w:val="24"/>
          <w:szCs w:val="24"/>
        </w:rPr>
        <w:t>）。</w:t>
      </w:r>
      <w:r>
        <w:rPr>
          <w:rFonts w:ascii="Times New Roman" w:eastAsia="宋体" w:hAnsi="Times New Roman" w:cs="Times New Roman"/>
          <w:bCs/>
          <w:snapToGrid w:val="0"/>
          <w:sz w:val="24"/>
          <w:szCs w:val="24"/>
        </w:rPr>
        <w:t>Cordeiro</w:t>
      </w:r>
      <w:r>
        <w:rPr>
          <w:rFonts w:ascii="Times New Roman" w:eastAsia="宋体" w:hAnsi="Times New Roman" w:cs="Times New Roman"/>
          <w:bCs/>
          <w:snapToGrid w:val="0"/>
          <w:sz w:val="24"/>
          <w:szCs w:val="24"/>
        </w:rPr>
        <w:t>等（</w:t>
      </w:r>
      <w:r>
        <w:rPr>
          <w:rFonts w:ascii="Times New Roman" w:eastAsia="宋体" w:hAnsi="Times New Roman" w:cs="Times New Roman"/>
          <w:bCs/>
          <w:i/>
          <w:iCs/>
          <w:snapToGrid w:val="0"/>
          <w:sz w:val="24"/>
          <w:szCs w:val="24"/>
        </w:rPr>
        <w:t>Journal of Thermal Analysis and Calorimetry, 2013, 114(2)</w:t>
      </w:r>
      <w:r>
        <w:rPr>
          <w:rFonts w:ascii="Times New Roman" w:eastAsia="宋体" w:hAnsi="Times New Roman" w:cs="Times New Roman"/>
          <w:bCs/>
          <w:snapToGrid w:val="0"/>
          <w:sz w:val="24"/>
          <w:szCs w:val="24"/>
        </w:rPr>
        <w:t>）测定大豆油总酚含量和</w:t>
      </w:r>
      <w:r>
        <w:rPr>
          <w:rFonts w:ascii="Times New Roman" w:eastAsia="宋体" w:hAnsi="Times New Roman" w:cs="Times New Roman"/>
          <w:bCs/>
          <w:snapToGrid w:val="0"/>
          <w:sz w:val="24"/>
          <w:szCs w:val="24"/>
        </w:rPr>
        <w:t>DPPH</w:t>
      </w:r>
      <w:r>
        <w:rPr>
          <w:rFonts w:ascii="Times New Roman" w:eastAsia="宋体" w:hAnsi="Times New Roman" w:cs="Times New Roman"/>
          <w:bCs/>
          <w:snapToGrid w:val="0"/>
          <w:sz w:val="24"/>
          <w:szCs w:val="24"/>
        </w:rPr>
        <w:t>自由基清除率，并使用</w:t>
      </w:r>
      <w:r>
        <w:rPr>
          <w:rFonts w:ascii="Times New Roman" w:eastAsia="宋体" w:hAnsi="Times New Roman" w:cs="Times New Roman"/>
          <w:bCs/>
          <w:snapToGrid w:val="0"/>
          <w:sz w:val="24"/>
          <w:szCs w:val="24"/>
        </w:rPr>
        <w:t>Rancimat</w:t>
      </w:r>
      <w:r>
        <w:rPr>
          <w:rFonts w:ascii="Times New Roman" w:eastAsia="宋体" w:hAnsi="Times New Roman" w:cs="Times New Roman"/>
          <w:bCs/>
          <w:snapToGrid w:val="0"/>
          <w:sz w:val="24"/>
          <w:szCs w:val="24"/>
        </w:rPr>
        <w:t>和</w:t>
      </w:r>
      <w:r>
        <w:rPr>
          <w:rFonts w:ascii="Times New Roman" w:eastAsia="宋体" w:hAnsi="Times New Roman" w:cs="Times New Roman"/>
          <w:bCs/>
          <w:snapToGrid w:val="0"/>
          <w:sz w:val="24"/>
          <w:szCs w:val="24"/>
        </w:rPr>
        <w:t>PDSC</w:t>
      </w:r>
      <w:r>
        <w:rPr>
          <w:rFonts w:ascii="Times New Roman" w:eastAsia="宋体" w:hAnsi="Times New Roman" w:cs="Times New Roman"/>
          <w:bCs/>
          <w:snapToGrid w:val="0"/>
          <w:sz w:val="24"/>
          <w:szCs w:val="24"/>
        </w:rPr>
        <w:t>的加速方法评价迷迭香、阳菊苷、芫荽、茴香和番泻叶的乙醇提取物对大豆油氧化稳定性的影响。结果表明，植物提取物对</w:t>
      </w:r>
      <w:r>
        <w:rPr>
          <w:rFonts w:ascii="Times New Roman" w:eastAsia="宋体" w:hAnsi="Times New Roman" w:cs="Times New Roman"/>
          <w:bCs/>
          <w:snapToGrid w:val="0"/>
          <w:sz w:val="24"/>
          <w:szCs w:val="24"/>
        </w:rPr>
        <w:t>DPPH</w:t>
      </w:r>
      <w:r>
        <w:rPr>
          <w:rFonts w:ascii="Times New Roman" w:eastAsia="宋体" w:hAnsi="Times New Roman" w:cs="Times New Roman"/>
          <w:bCs/>
          <w:snapToGrid w:val="0"/>
          <w:sz w:val="24"/>
          <w:szCs w:val="24"/>
        </w:rPr>
        <w:t>自由基均具有抗氧化能力，而迷迭香提取物的总酚含量最高；当迷迭香提取物与合成抗氧化剂（</w:t>
      </w:r>
      <w:r>
        <w:rPr>
          <w:rFonts w:ascii="Times New Roman" w:eastAsia="宋体" w:hAnsi="Times New Roman" w:cs="Times New Roman"/>
          <w:bCs/>
          <w:snapToGrid w:val="0"/>
          <w:sz w:val="24"/>
          <w:szCs w:val="24"/>
        </w:rPr>
        <w:t>BHT</w:t>
      </w:r>
      <w:r>
        <w:rPr>
          <w:rFonts w:ascii="Times New Roman" w:eastAsia="宋体" w:hAnsi="Times New Roman" w:cs="Times New Roman"/>
          <w:bCs/>
          <w:snapToGrid w:val="0"/>
          <w:sz w:val="24"/>
          <w:szCs w:val="24"/>
        </w:rPr>
        <w:t>）进行比较时，根据</w:t>
      </w:r>
      <w:r>
        <w:rPr>
          <w:rFonts w:ascii="Times New Roman" w:eastAsia="宋体" w:hAnsi="Times New Roman" w:cs="Times New Roman"/>
          <w:bCs/>
          <w:snapToGrid w:val="0"/>
          <w:sz w:val="24"/>
          <w:szCs w:val="24"/>
        </w:rPr>
        <w:t>Rancimat</w:t>
      </w:r>
      <w:r>
        <w:rPr>
          <w:rFonts w:ascii="Times New Roman" w:eastAsia="宋体" w:hAnsi="Times New Roman" w:cs="Times New Roman"/>
          <w:bCs/>
          <w:snapToGrid w:val="0"/>
          <w:sz w:val="24"/>
          <w:szCs w:val="24"/>
        </w:rPr>
        <w:t>技术显示迷迭香提取物更有效，其诱导期（</w:t>
      </w:r>
      <w:r>
        <w:rPr>
          <w:rFonts w:ascii="Times New Roman" w:eastAsia="宋体" w:hAnsi="Times New Roman" w:cs="Times New Roman"/>
          <w:bCs/>
          <w:snapToGrid w:val="0"/>
          <w:sz w:val="24"/>
          <w:szCs w:val="24"/>
        </w:rPr>
        <w:t>IP</w:t>
      </w:r>
      <w:r>
        <w:rPr>
          <w:rFonts w:ascii="Times New Roman" w:eastAsia="宋体" w:hAnsi="Times New Roman" w:cs="Times New Roman"/>
          <w:bCs/>
          <w:snapToGrid w:val="0"/>
          <w:sz w:val="24"/>
          <w:szCs w:val="24"/>
        </w:rPr>
        <w:t>）比合成抗氧化剂</w:t>
      </w:r>
      <w:r>
        <w:rPr>
          <w:rFonts w:ascii="Times New Roman" w:eastAsia="宋体" w:hAnsi="Times New Roman" w:cs="Times New Roman"/>
          <w:bCs/>
          <w:snapToGrid w:val="0"/>
          <w:sz w:val="24"/>
          <w:szCs w:val="24"/>
        </w:rPr>
        <w:t>BHT</w:t>
      </w:r>
      <w:r>
        <w:rPr>
          <w:rFonts w:ascii="Times New Roman" w:eastAsia="宋体" w:hAnsi="Times New Roman" w:cs="Times New Roman"/>
          <w:bCs/>
          <w:snapToGrid w:val="0"/>
          <w:sz w:val="24"/>
          <w:szCs w:val="24"/>
        </w:rPr>
        <w:t>测定的</w:t>
      </w:r>
      <w:r>
        <w:rPr>
          <w:rFonts w:ascii="Times New Roman" w:eastAsia="宋体" w:hAnsi="Times New Roman" w:cs="Times New Roman"/>
          <w:bCs/>
          <w:snapToGrid w:val="0"/>
          <w:sz w:val="24"/>
          <w:szCs w:val="24"/>
        </w:rPr>
        <w:t>IP</w:t>
      </w:r>
      <w:r>
        <w:rPr>
          <w:rFonts w:ascii="Times New Roman" w:eastAsia="宋体" w:hAnsi="Times New Roman" w:cs="Times New Roman"/>
          <w:bCs/>
          <w:snapToGrid w:val="0"/>
          <w:sz w:val="24"/>
          <w:szCs w:val="24"/>
        </w:rPr>
        <w:t>大</w:t>
      </w:r>
      <w:r>
        <w:rPr>
          <w:rFonts w:ascii="Times New Roman" w:eastAsia="宋体" w:hAnsi="Times New Roman" w:cs="Times New Roman"/>
          <w:bCs/>
          <w:snapToGrid w:val="0"/>
          <w:sz w:val="24"/>
          <w:szCs w:val="24"/>
        </w:rPr>
        <w:t>1.7</w:t>
      </w:r>
      <w:r>
        <w:rPr>
          <w:rFonts w:ascii="Times New Roman" w:eastAsia="宋体" w:hAnsi="Times New Roman" w:cs="Times New Roman"/>
          <w:bCs/>
          <w:snapToGrid w:val="0"/>
          <w:sz w:val="24"/>
          <w:szCs w:val="24"/>
        </w:rPr>
        <w:t>倍。在大豆油、菜籽油、棉籽油、米糠油和山茶油中添加迷迭香提取物并测定理化指标（脂肪酸组成、生育酚含量、总酚含量和自由基清除能力）、诱导期和热氧化动力学参数（</w:t>
      </w:r>
      <w:r>
        <w:rPr>
          <w:rFonts w:ascii="Times New Roman" w:eastAsia="宋体" w:hAnsi="Times New Roman" w:cs="Times New Roman"/>
          <w:bCs/>
          <w:i/>
          <w:iCs/>
          <w:snapToGrid w:val="0"/>
          <w:sz w:val="24"/>
          <w:szCs w:val="24"/>
        </w:rPr>
        <w:t>Foods, 2023, 12(11)</w:t>
      </w:r>
      <w:r>
        <w:rPr>
          <w:rFonts w:ascii="Times New Roman" w:eastAsia="宋体" w:hAnsi="Times New Roman" w:cs="Times New Roman"/>
          <w:bCs/>
          <w:snapToGrid w:val="0"/>
          <w:sz w:val="24"/>
          <w:szCs w:val="24"/>
        </w:rPr>
        <w:t>）。结果表明，与人工抗氧化剂相比，迷迭香提取物显著增加了热氧化的自由基清除能力，诱导期和活化能，降低了所有植物油，尤其是米糠油的热氧化反应速率，表明迷迭香在高温条件下仍然具有良好的抗氧化能力，可以有效缓解油脂的氧化。</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在我国</w:t>
      </w:r>
      <w:r>
        <w:rPr>
          <w:rFonts w:ascii="Times New Roman" w:eastAsia="宋体" w:hAnsi="Times New Roman" w:cs="Times New Roman"/>
          <w:bCs/>
          <w:snapToGrid w:val="0"/>
          <w:sz w:val="24"/>
          <w:szCs w:val="24"/>
        </w:rPr>
        <w:t>食品添加剂标准</w:t>
      </w:r>
      <w:r>
        <w:rPr>
          <w:rFonts w:ascii="Times New Roman" w:eastAsia="宋体" w:hAnsi="Times New Roman" w:cs="Times New Roman" w:hint="eastAsia"/>
          <w:bCs/>
          <w:snapToGrid w:val="0"/>
          <w:sz w:val="24"/>
          <w:szCs w:val="24"/>
        </w:rPr>
        <w:t>-</w:t>
      </w:r>
      <w:r>
        <w:rPr>
          <w:rFonts w:ascii="Times New Roman" w:eastAsia="宋体" w:hAnsi="Times New Roman" w:cs="Times New Roman"/>
          <w:bCs/>
          <w:snapToGrid w:val="0"/>
          <w:sz w:val="24"/>
          <w:szCs w:val="24"/>
        </w:rPr>
        <w:t>迷迭香提取物</w:t>
      </w:r>
      <w:r>
        <w:rPr>
          <w:rFonts w:ascii="Times New Roman" w:eastAsia="宋体" w:hAnsi="Times New Roman" w:cs="Times New Roman" w:hint="eastAsia"/>
          <w:bCs/>
          <w:snapToGrid w:val="0"/>
          <w:sz w:val="24"/>
          <w:szCs w:val="24"/>
        </w:rPr>
        <w:t>（</w:t>
      </w:r>
      <w:r>
        <w:rPr>
          <w:rFonts w:ascii="Times New Roman" w:eastAsia="宋体" w:hAnsi="Times New Roman" w:cs="Times New Roman"/>
          <w:bCs/>
          <w:snapToGrid w:val="0"/>
          <w:sz w:val="24"/>
          <w:szCs w:val="24"/>
        </w:rPr>
        <w:t>GB1886.172</w:t>
      </w:r>
      <w:r>
        <w:rPr>
          <w:rFonts w:ascii="Times New Roman" w:eastAsia="宋体" w:hAnsi="Times New Roman" w:cs="Times New Roman" w:hint="eastAsia"/>
          <w:bCs/>
          <w:snapToGrid w:val="0"/>
          <w:sz w:val="24"/>
          <w:szCs w:val="24"/>
        </w:rPr>
        <w:t>-</w:t>
      </w:r>
      <w:r>
        <w:rPr>
          <w:rFonts w:ascii="Times New Roman" w:eastAsia="宋体" w:hAnsi="Times New Roman" w:cs="Times New Roman"/>
          <w:bCs/>
          <w:snapToGrid w:val="0"/>
          <w:sz w:val="24"/>
          <w:szCs w:val="24"/>
        </w:rPr>
        <w:t>2016</w:t>
      </w:r>
      <w:r>
        <w:rPr>
          <w:rFonts w:ascii="Times New Roman" w:eastAsia="宋体" w:hAnsi="Times New Roman" w:cs="Times New Roman" w:hint="eastAsia"/>
          <w:bCs/>
          <w:snapToGrid w:val="0"/>
          <w:sz w:val="24"/>
          <w:szCs w:val="24"/>
        </w:rPr>
        <w:t>）中，只对总抗氧</w:t>
      </w:r>
      <w:r>
        <w:rPr>
          <w:rFonts w:ascii="Times New Roman" w:eastAsia="宋体" w:hAnsi="Times New Roman" w:cs="Times New Roman" w:hint="eastAsia"/>
          <w:bCs/>
          <w:snapToGrid w:val="0"/>
          <w:sz w:val="24"/>
          <w:szCs w:val="24"/>
        </w:rPr>
        <w:lastRenderedPageBreak/>
        <w:t>化成分、水分、重金属、溶剂残留进行了限定，只代表了迷迭香的粗提取物，未对气味、色泽等进行限定，将仅符合该标准的</w:t>
      </w:r>
      <w:r>
        <w:rPr>
          <w:rFonts w:ascii="Times New Roman" w:eastAsia="宋体" w:hAnsi="Times New Roman" w:cs="Times New Roman"/>
          <w:bCs/>
          <w:snapToGrid w:val="0"/>
          <w:sz w:val="24"/>
          <w:szCs w:val="24"/>
        </w:rPr>
        <w:t>迷迭香提取物</w:t>
      </w:r>
      <w:r>
        <w:rPr>
          <w:rFonts w:ascii="Times New Roman" w:eastAsia="宋体" w:hAnsi="Times New Roman" w:cs="Times New Roman" w:hint="eastAsia"/>
          <w:bCs/>
          <w:snapToGrid w:val="0"/>
          <w:sz w:val="24"/>
          <w:szCs w:val="24"/>
        </w:rPr>
        <w:t>用于食用油脂存在如下问题，一是不能与食用油完全溶解，造成添加困难；二是迷迭香中挥发性成分含量较高，特别是一些高沸点气味成分简单加工难以除去，如樟脑沸点</w:t>
      </w:r>
      <w:r>
        <w:rPr>
          <w:rFonts w:ascii="Times New Roman" w:eastAsia="宋体" w:hAnsi="Times New Roman" w:cs="Times New Roman" w:hint="eastAsia"/>
          <w:bCs/>
          <w:snapToGrid w:val="0"/>
          <w:sz w:val="24"/>
          <w:szCs w:val="24"/>
        </w:rPr>
        <w:t>209</w:t>
      </w:r>
      <w:r>
        <w:rPr>
          <w:rFonts w:ascii="Times New Roman" w:eastAsia="宋体" w:hAnsi="Times New Roman" w:cs="Times New Roman" w:hint="eastAsia"/>
          <w:bCs/>
          <w:snapToGrid w:val="0"/>
          <w:sz w:val="24"/>
          <w:szCs w:val="24"/>
        </w:rPr>
        <w:t>℃、</w:t>
      </w:r>
      <w:r>
        <w:rPr>
          <w:rFonts w:ascii="Times New Roman" w:eastAsia="宋体" w:hAnsi="Times New Roman" w:cs="Times New Roman" w:hint="eastAsia"/>
          <w:bCs/>
          <w:snapToGrid w:val="0"/>
          <w:sz w:val="24"/>
          <w:szCs w:val="24"/>
        </w:rPr>
        <w:t>1,8-</w:t>
      </w:r>
      <w:r>
        <w:rPr>
          <w:rFonts w:ascii="Times New Roman" w:eastAsia="宋体" w:hAnsi="Times New Roman" w:cs="Times New Roman" w:hint="eastAsia"/>
          <w:bCs/>
          <w:snapToGrid w:val="0"/>
          <w:sz w:val="24"/>
          <w:szCs w:val="24"/>
        </w:rPr>
        <w:t>桉叶素沸点</w:t>
      </w:r>
      <w:r>
        <w:rPr>
          <w:rFonts w:ascii="Times New Roman" w:eastAsia="宋体" w:hAnsi="Times New Roman" w:cs="Times New Roman"/>
          <w:bCs/>
          <w:snapToGrid w:val="0"/>
          <w:sz w:val="24"/>
          <w:szCs w:val="24"/>
        </w:rPr>
        <w:t>176~177°C</w:t>
      </w:r>
      <w:r>
        <w:rPr>
          <w:rFonts w:ascii="Times New Roman" w:eastAsia="宋体" w:hAnsi="Times New Roman" w:cs="Times New Roman" w:hint="eastAsia"/>
          <w:bCs/>
          <w:snapToGrid w:val="0"/>
          <w:sz w:val="24"/>
          <w:szCs w:val="24"/>
        </w:rPr>
        <w:t>、马鞭草烯酮</w:t>
      </w:r>
      <w:r>
        <w:rPr>
          <w:rFonts w:ascii="Times New Roman" w:eastAsia="宋体" w:hAnsi="Times New Roman" w:cs="Times New Roman"/>
          <w:bCs/>
          <w:snapToGrid w:val="0"/>
          <w:sz w:val="24"/>
          <w:szCs w:val="24"/>
        </w:rPr>
        <w:t>沸点</w:t>
      </w:r>
      <w:r>
        <w:rPr>
          <w:rFonts w:ascii="Times New Roman" w:eastAsia="宋体" w:hAnsi="Times New Roman" w:cs="Times New Roman"/>
          <w:bCs/>
          <w:snapToGrid w:val="0"/>
          <w:sz w:val="24"/>
          <w:szCs w:val="24"/>
        </w:rPr>
        <w:t>227-228 °C</w:t>
      </w:r>
      <w:r>
        <w:rPr>
          <w:rFonts w:ascii="Times New Roman" w:eastAsia="宋体" w:hAnsi="Times New Roman" w:cs="Times New Roman" w:hint="eastAsia"/>
          <w:bCs/>
          <w:snapToGrid w:val="0"/>
          <w:sz w:val="24"/>
          <w:szCs w:val="24"/>
        </w:rPr>
        <w:t>、冰片沸点</w:t>
      </w:r>
      <w:r>
        <w:rPr>
          <w:rFonts w:ascii="Times New Roman" w:eastAsia="宋体" w:hAnsi="Times New Roman" w:cs="Times New Roman" w:hint="eastAsia"/>
          <w:bCs/>
          <w:snapToGrid w:val="0"/>
          <w:sz w:val="24"/>
          <w:szCs w:val="24"/>
        </w:rPr>
        <w:t>212</w:t>
      </w:r>
      <w:r>
        <w:rPr>
          <w:rFonts w:ascii="Times New Roman" w:eastAsia="宋体" w:hAnsi="Times New Roman" w:cs="Times New Roman" w:hint="eastAsia"/>
          <w:bCs/>
          <w:snapToGrid w:val="0"/>
          <w:sz w:val="24"/>
          <w:szCs w:val="24"/>
        </w:rPr>
        <w:t>℃，如不除去必然影响食用油风味与品质；三是迷迭香提取物是以迷迭香叶为原料，抗氧化成分鼠尾草酸为脂溶性成分，与叶绿素等有色成分共生，如不除去色素等成分添加到食用油中会使该油脂不符合相应国家标准。因此，将其制成相应油溶液——迷迭香油，既能方便在工艺上脱除迷迭香中挥发性物质与残留溶剂，又方便其在食用油脂中添加使用。因此制定能用于油脂抗氧化的迷迭香油标准十分有意义。</w:t>
      </w:r>
    </w:p>
    <w:p w:rsidR="00052CF6" w:rsidRDefault="0040770F">
      <w:pPr>
        <w:adjustRightInd w:val="0"/>
        <w:snapToGrid w:val="0"/>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1.2 协作单位（除第一起草单位外的其他主要起草单位）</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bookmarkStart w:id="3" w:name="_Hlk111477333"/>
      <w:r>
        <w:rPr>
          <w:rFonts w:ascii="Times New Roman" w:eastAsia="宋体" w:hAnsi="Times New Roman" w:cs="Times New Roman" w:hint="eastAsia"/>
          <w:bCs/>
          <w:snapToGrid w:val="0"/>
          <w:sz w:val="24"/>
          <w:szCs w:val="24"/>
        </w:rPr>
        <w:t>协作单位为武汉轻工大学，湖南今汉药业有限公司，浙江新市油脂股份有限公司。</w:t>
      </w:r>
    </w:p>
    <w:bookmarkEnd w:id="3"/>
    <w:p w:rsidR="00052CF6" w:rsidRDefault="0040770F">
      <w:pPr>
        <w:adjustRightInd w:val="0"/>
        <w:snapToGrid w:val="0"/>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1</w:t>
      </w:r>
      <w:r>
        <w:rPr>
          <w:rFonts w:ascii="宋体" w:eastAsia="宋体" w:hAnsi="宋体"/>
          <w:b/>
          <w:sz w:val="24"/>
          <w:szCs w:val="24"/>
        </w:rPr>
        <w:t xml:space="preserve">.3 </w:t>
      </w:r>
      <w:r>
        <w:rPr>
          <w:rFonts w:ascii="宋体" w:eastAsia="宋体" w:hAnsi="宋体" w:hint="eastAsia"/>
          <w:b/>
          <w:sz w:val="24"/>
          <w:szCs w:val="24"/>
        </w:rPr>
        <w:t>主要工作过程（应包括标准起草阶段、征求意见阶段、审查阶段、报批阶段等）</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w:t>
      </w:r>
      <w:r>
        <w:rPr>
          <w:rFonts w:ascii="Times New Roman" w:eastAsia="宋体" w:hAnsi="Times New Roman" w:cs="Times New Roman" w:hint="eastAsia"/>
          <w:bCs/>
          <w:snapToGrid w:val="0"/>
          <w:sz w:val="24"/>
          <w:szCs w:val="24"/>
        </w:rPr>
        <w:t>1</w:t>
      </w:r>
      <w:r>
        <w:rPr>
          <w:rFonts w:ascii="Times New Roman" w:eastAsia="宋体" w:hAnsi="Times New Roman" w:cs="Times New Roman" w:hint="eastAsia"/>
          <w:bCs/>
          <w:snapToGrid w:val="0"/>
          <w:sz w:val="24"/>
          <w:szCs w:val="24"/>
        </w:rPr>
        <w:t>）文献资料收集和汇总分析</w:t>
      </w:r>
      <w:r>
        <w:rPr>
          <w:rFonts w:ascii="Times New Roman" w:eastAsia="宋体" w:hAnsi="Times New Roman" w:cs="Times New Roman" w:hint="eastAsia"/>
          <w:bCs/>
          <w:snapToGrid w:val="0"/>
          <w:sz w:val="24"/>
          <w:szCs w:val="24"/>
        </w:rPr>
        <w:t xml:space="preserve"> </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本标准起草小组查阅了大量的国内外科技文献及相关标准，并对搜集到的资料进行分析研究，为本标准的制定提供参考和依据。</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bCs/>
          <w:snapToGrid w:val="0"/>
          <w:sz w:val="24"/>
          <w:szCs w:val="24"/>
        </w:rPr>
        <w:t>①</w:t>
      </w:r>
      <w:r>
        <w:rPr>
          <w:rFonts w:ascii="Times New Roman" w:eastAsia="宋体" w:hAnsi="Times New Roman" w:cs="Times New Roman" w:hint="eastAsia"/>
          <w:bCs/>
          <w:snapToGrid w:val="0"/>
          <w:sz w:val="24"/>
          <w:szCs w:val="24"/>
        </w:rPr>
        <w:t>相关标准</w:t>
      </w:r>
      <w:r>
        <w:rPr>
          <w:rFonts w:ascii="Times New Roman" w:eastAsia="宋体" w:hAnsi="Times New Roman" w:cs="Times New Roman" w:hint="eastAsia"/>
          <w:bCs/>
          <w:snapToGrid w:val="0"/>
          <w:sz w:val="24"/>
          <w:szCs w:val="24"/>
        </w:rPr>
        <w:t xml:space="preserve"> </w:t>
      </w:r>
    </w:p>
    <w:p w:rsidR="00052CF6" w:rsidRDefault="0040770F">
      <w:pPr>
        <w:ind w:firstLineChars="200" w:firstLine="420"/>
      </w:pPr>
      <w:r>
        <w:t>GB 2716 食品安全国家标准</w:t>
      </w:r>
      <w:r>
        <w:rPr>
          <w:rFonts w:hint="eastAsia"/>
        </w:rPr>
        <w:t xml:space="preserve"> </w:t>
      </w:r>
      <w:r>
        <w:t>食用植物油</w:t>
      </w:r>
    </w:p>
    <w:p w:rsidR="00052CF6" w:rsidRDefault="0040770F">
      <w:pPr>
        <w:ind w:firstLineChars="200" w:firstLine="420"/>
      </w:pPr>
      <w:r>
        <w:t>GB 2760 食品安全国家标准 食品添加剂使用标准</w:t>
      </w:r>
    </w:p>
    <w:p w:rsidR="00052CF6" w:rsidRDefault="0040770F">
      <w:pPr>
        <w:ind w:firstLineChars="200" w:firstLine="420"/>
      </w:pPr>
      <w:r>
        <w:t>GB1886.172 食品安全国家标准食品添加剂 迷迭香提取物</w:t>
      </w:r>
    </w:p>
    <w:p w:rsidR="00052CF6" w:rsidRDefault="0040770F">
      <w:pPr>
        <w:ind w:firstLineChars="200" w:firstLine="420"/>
      </w:pPr>
      <w:r>
        <w:t>GB 2761 食品安全国家标准 食品中真菌毒素限量</w:t>
      </w:r>
    </w:p>
    <w:p w:rsidR="00052CF6" w:rsidRDefault="0040770F">
      <w:pPr>
        <w:ind w:firstLineChars="200" w:firstLine="420"/>
      </w:pPr>
      <w:r>
        <w:t>GB 2762 食品安全国家标准 食品中污染物限量</w:t>
      </w:r>
    </w:p>
    <w:p w:rsidR="00052CF6" w:rsidRDefault="0040770F">
      <w:pPr>
        <w:ind w:firstLineChars="200" w:firstLine="420"/>
      </w:pPr>
      <w:r>
        <w:t>GB 2763 食品安全国家标准 食品中农药最大残留限量</w:t>
      </w:r>
    </w:p>
    <w:p w:rsidR="00052CF6" w:rsidRDefault="0040770F">
      <w:pPr>
        <w:ind w:firstLineChars="200" w:firstLine="420"/>
      </w:pPr>
      <w:r>
        <w:t>GB 5009.227 食品安全国家标准 食品中过氧化值的测定</w:t>
      </w:r>
    </w:p>
    <w:p w:rsidR="00052CF6" w:rsidRDefault="0040770F">
      <w:pPr>
        <w:ind w:firstLineChars="200" w:firstLine="420"/>
      </w:pPr>
      <w:r>
        <w:t>GB/T 5525 植物油脂 透明度、气味、滋味鉴定法</w:t>
      </w:r>
    </w:p>
    <w:p w:rsidR="00052CF6" w:rsidRDefault="0040770F">
      <w:pPr>
        <w:ind w:firstLineChars="200" w:firstLine="420"/>
      </w:pPr>
      <w:r>
        <w:t>GB 7718 食品安全国家标准 预包装食品标签通则</w:t>
      </w:r>
    </w:p>
    <w:p w:rsidR="00052CF6" w:rsidRDefault="0040770F">
      <w:pPr>
        <w:ind w:firstLineChars="200" w:firstLine="420"/>
      </w:pPr>
      <w:r>
        <w:t>GB 14880 食品安全国家标准  食品营养强化剂使用标准</w:t>
      </w:r>
    </w:p>
    <w:p w:rsidR="00052CF6" w:rsidRDefault="0040770F">
      <w:pPr>
        <w:ind w:firstLineChars="200" w:firstLine="420"/>
      </w:pPr>
      <w:r>
        <w:t>GB/T 17374 食用植物油销售包装</w:t>
      </w:r>
    </w:p>
    <w:p w:rsidR="00052CF6" w:rsidRDefault="0040770F">
      <w:pPr>
        <w:ind w:firstLineChars="200" w:firstLine="420"/>
      </w:pPr>
      <w:r>
        <w:t>GB 28050 食品安全国家标准 预包装食品营养标签通则</w:t>
      </w:r>
    </w:p>
    <w:p w:rsidR="00052CF6" w:rsidRDefault="0040770F">
      <w:pPr>
        <w:ind w:firstLineChars="200" w:firstLine="420"/>
      </w:pPr>
      <w:r>
        <w:t>GB/T 30354 食用植物油散装运输规范</w:t>
      </w:r>
    </w:p>
    <w:p w:rsidR="00052CF6" w:rsidRDefault="0040770F">
      <w:pPr>
        <w:ind w:firstLineChars="200" w:firstLine="420"/>
      </w:pPr>
      <w:r>
        <w:rPr>
          <w:rFonts w:hint="eastAsia"/>
        </w:rPr>
        <w:t>GB5009.265 食品安全国家标准 食品中多环芳烃测定</w:t>
      </w:r>
    </w:p>
    <w:p w:rsidR="00052CF6" w:rsidRDefault="0040770F">
      <w:pPr>
        <w:ind w:firstLineChars="200" w:firstLine="420"/>
      </w:pPr>
      <w:r>
        <w:rPr>
          <w:rFonts w:hint="eastAsia"/>
        </w:rPr>
        <w:t>GB1886.172 食品安全国家标准 食品添加剂 迷迭香提取物</w:t>
      </w:r>
    </w:p>
    <w:p w:rsidR="00052CF6" w:rsidRDefault="0040770F">
      <w:pPr>
        <w:ind w:firstLineChars="200" w:firstLine="420"/>
      </w:pPr>
      <w:r>
        <w:rPr>
          <w:rFonts w:hint="eastAsia"/>
        </w:rPr>
        <w:t>GB/T 191 包装储运图示标志</w:t>
      </w:r>
    </w:p>
    <w:p w:rsidR="00052CF6" w:rsidRDefault="0040770F">
      <w:pPr>
        <w:ind w:firstLineChars="200" w:firstLine="420"/>
        <w:rPr>
          <w:rFonts w:ascii="Times New Roman" w:hAnsi="Times New Roman" w:cs="Times New Roman"/>
        </w:rPr>
      </w:pPr>
      <w:r>
        <w:rPr>
          <w:rFonts w:ascii="Times New Roman" w:hAnsi="Times New Roman" w:cs="Times New Roman"/>
        </w:rPr>
        <w:lastRenderedPageBreak/>
        <w:t>JECFA FAO WHO Rosemary Extract</w:t>
      </w:r>
    </w:p>
    <w:p w:rsidR="00052CF6" w:rsidRDefault="0040770F">
      <w:pPr>
        <w:ind w:firstLineChars="200" w:firstLine="420"/>
        <w:rPr>
          <w:rFonts w:ascii="Times New Roman" w:hAnsi="Times New Roman" w:cs="Times New Roman"/>
        </w:rPr>
      </w:pPr>
      <w:r>
        <w:rPr>
          <w:rFonts w:ascii="Times New Roman" w:hAnsi="Times New Roman" w:cs="Times New Roman"/>
        </w:rPr>
        <w:t>E 392 EXTRACTS OF ROSEMAR</w:t>
      </w:r>
      <w:r>
        <w:rPr>
          <w:rFonts w:ascii="Times New Roman" w:hAnsi="Times New Roman" w:cs="Times New Roman" w:hint="eastAsia"/>
        </w:rPr>
        <w:t>(</w:t>
      </w:r>
      <w:r>
        <w:rPr>
          <w:rFonts w:ascii="Times New Roman" w:hAnsi="Times New Roman" w:cs="Times New Roman" w:hint="eastAsia"/>
        </w:rPr>
        <w:t>欧盟）</w:t>
      </w:r>
    </w:p>
    <w:p w:rsidR="00052CF6" w:rsidRDefault="0040770F">
      <w:pPr>
        <w:snapToGrid w:val="0"/>
        <w:spacing w:beforeLines="50" w:before="156"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bCs/>
          <w:snapToGrid w:val="0"/>
          <w:sz w:val="24"/>
          <w:szCs w:val="24"/>
        </w:rPr>
        <w:t>②</w:t>
      </w:r>
      <w:r>
        <w:rPr>
          <w:rFonts w:ascii="Times New Roman" w:eastAsia="宋体" w:hAnsi="Times New Roman" w:cs="Times New Roman" w:hint="eastAsia"/>
          <w:bCs/>
          <w:snapToGrid w:val="0"/>
          <w:sz w:val="24"/>
          <w:szCs w:val="24"/>
        </w:rPr>
        <w:t>相关文献</w:t>
      </w:r>
      <w:r>
        <w:rPr>
          <w:rFonts w:ascii="Times New Roman" w:eastAsia="宋体" w:hAnsi="Times New Roman" w:cs="Times New Roman" w:hint="eastAsia"/>
          <w:bCs/>
          <w:snapToGrid w:val="0"/>
          <w:sz w:val="24"/>
          <w:szCs w:val="24"/>
        </w:rPr>
        <w:t xml:space="preserve"> </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GABRIELA GALLEGO M, GORDON M H, SEGOVIA F J, et al. Antioxidant Properties of Three Aromatic Herbs (Rosemary, Thyme and Lavender) in Oil-in-Water Emulsions [J]. JOURNAL OF THE AMERICAN OIL CHEMISTS SOCIETY, 2013, 90(10): 1559-1568.</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ZHANG Y, YANG L, ZU Y, et al. Oxidative stability of sunflower oil supplemented with carnosic acid compared with synthetic antioxidants during accelerated storage [J]. FOOD CHEMISTRY, 2010, 118(3): 656-662.</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HERNANDEZ D A, TENORIO F J. Reactivity indexes of antioxidant molecules from Rosmarinus officinalis [J]. Structural Chemistry, 2017, 29(3): 741-751.</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SONG X, SUI X, JIANG L. Protection Function and Mechanism of Rosemary (Rosmarinus officinalis L.) Extract on the Thermal Oxidative Stability of Vegetable Oils [J]. Foods, 2023, 12(11).</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YANG Y, SONG X, SUI X, et al. Rosemary extract can be used as a synthetic antioxidant to improve vegetable oil oxidative stability [J]. Industrial Crops and Products, 2016, 80: 141-147.</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ODEH D, KRALJIC K, BENUSSI SKUKAN A, et al. Oxidative Stability, Microbial Safety, and Sensory Properties of Flaxseed (Linum usitatissimum L.) Oil Infused with Spices and Herbs [J]. Antioxidants (Basel), 2021, 10(5).</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CORDEIRO A M T M, MEDEIROS M L, SILVA M A A D, et al. Rancimat and PDSC accelerated techniques for evaluation of oxidative stability of soybean oil with plant extracts [J]. Journal of Thermal Analysis and Calorimetry, 2013, 114(2): 827-832.</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毛绍春</w:t>
      </w:r>
      <w:r>
        <w:rPr>
          <w:rFonts w:ascii="Times New Roman" w:hAnsi="Times New Roman" w:cs="Times New Roman"/>
          <w:sz w:val="21"/>
          <w:szCs w:val="21"/>
        </w:rPr>
        <w:t xml:space="preserve">, </w:t>
      </w:r>
      <w:r>
        <w:rPr>
          <w:rFonts w:ascii="Times New Roman" w:hAnsi="Times New Roman" w:cs="Times New Roman"/>
          <w:sz w:val="21"/>
          <w:szCs w:val="21"/>
        </w:rPr>
        <w:t>李竹英</w:t>
      </w:r>
      <w:r>
        <w:rPr>
          <w:rFonts w:ascii="Times New Roman" w:hAnsi="Times New Roman" w:cs="Times New Roman"/>
          <w:sz w:val="21"/>
          <w:szCs w:val="21"/>
        </w:rPr>
        <w:t xml:space="preserve">. </w:t>
      </w:r>
      <w:r>
        <w:rPr>
          <w:rFonts w:ascii="Times New Roman" w:hAnsi="Times New Roman" w:cs="Times New Roman"/>
          <w:sz w:val="21"/>
          <w:szCs w:val="21"/>
        </w:rPr>
        <w:t>迷迭香抗氧化剂在食用油脂中的应用</w:t>
      </w:r>
      <w:r>
        <w:rPr>
          <w:rFonts w:ascii="Times New Roman" w:hAnsi="Times New Roman" w:cs="Times New Roman"/>
          <w:sz w:val="21"/>
          <w:szCs w:val="21"/>
        </w:rPr>
        <w:t xml:space="preserve"> [J]. </w:t>
      </w:r>
      <w:r>
        <w:rPr>
          <w:rFonts w:ascii="Times New Roman" w:hAnsi="Times New Roman" w:cs="Times New Roman"/>
          <w:sz w:val="21"/>
          <w:szCs w:val="21"/>
        </w:rPr>
        <w:t>保鲜与加工</w:t>
      </w:r>
      <w:r>
        <w:rPr>
          <w:rFonts w:ascii="Times New Roman" w:hAnsi="Times New Roman" w:cs="Times New Roman"/>
          <w:sz w:val="21"/>
          <w:szCs w:val="21"/>
        </w:rPr>
        <w:t>, 2006, (05): 31-32.</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REDONDO-CUEVAS L, HAYES H, NICOL F, et al. Rosemary powder filtrate improves the oxidative stability and antioxidant properties of rapeseed oil: potential applications for domestic cooking [J]. INTERNATIONAL JOURNAL OF FOOD SCIENCE AND TECHNOLOGY, 2019, 54(2): 432-439.</w:t>
      </w:r>
    </w:p>
    <w:p w:rsidR="00052CF6" w:rsidRDefault="0040770F">
      <w:pPr>
        <w:pStyle w:val="EndNoteBibliography"/>
        <w:numPr>
          <w:ilvl w:val="0"/>
          <w:numId w:val="1"/>
        </w:numPr>
        <w:ind w:left="0" w:firstLineChars="200" w:firstLine="420"/>
        <w:rPr>
          <w:rFonts w:ascii="Times New Roman" w:hAnsi="Times New Roman" w:cs="Times New Roman"/>
          <w:sz w:val="21"/>
          <w:szCs w:val="21"/>
        </w:rPr>
      </w:pPr>
      <w:r>
        <w:rPr>
          <w:rFonts w:ascii="Times New Roman" w:hAnsi="Times New Roman" w:cs="Times New Roman"/>
          <w:sz w:val="21"/>
          <w:szCs w:val="21"/>
        </w:rPr>
        <w:t>KEOKAMNERD T, ACTON J C, HAN I Y, et al. Effect of commercial rosemary oleoresin preparations on ground chicken thigh meat quality packaged in a high-oxygen atmosphere [J]. POULTRY SCIENCE, 2008, 87(1): 170-179.</w:t>
      </w:r>
    </w:p>
    <w:p w:rsidR="00052CF6" w:rsidRDefault="0040770F">
      <w:pPr>
        <w:numPr>
          <w:ilvl w:val="0"/>
          <w:numId w:val="2"/>
        </w:numPr>
        <w:snapToGrid w:val="0"/>
        <w:spacing w:beforeLines="100" w:before="312"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调查研究和试验研究</w:t>
      </w:r>
    </w:p>
    <w:p w:rsidR="00052CF6" w:rsidRDefault="0040770F">
      <w:pPr>
        <w:snapToGrid w:val="0"/>
        <w:spacing w:line="360" w:lineRule="auto"/>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 xml:space="preserve">    </w:t>
      </w:r>
      <w:r>
        <w:rPr>
          <w:rFonts w:ascii="Times New Roman" w:eastAsia="宋体" w:hAnsi="Times New Roman" w:cs="Times New Roman" w:hint="eastAsia"/>
          <w:bCs/>
          <w:snapToGrid w:val="0"/>
          <w:sz w:val="24"/>
          <w:szCs w:val="24"/>
        </w:rPr>
        <w:t>（</w:t>
      </w:r>
      <w:r>
        <w:rPr>
          <w:rFonts w:ascii="Times New Roman" w:eastAsia="宋体" w:hAnsi="Times New Roman" w:cs="Times New Roman" w:hint="eastAsia"/>
          <w:bCs/>
          <w:snapToGrid w:val="0"/>
          <w:sz w:val="24"/>
          <w:szCs w:val="24"/>
        </w:rPr>
        <w:t>3</w:t>
      </w:r>
      <w:r>
        <w:rPr>
          <w:rFonts w:ascii="Times New Roman" w:eastAsia="宋体" w:hAnsi="Times New Roman" w:cs="Times New Roman" w:hint="eastAsia"/>
          <w:bCs/>
          <w:snapToGrid w:val="0"/>
          <w:sz w:val="24"/>
          <w:szCs w:val="24"/>
        </w:rPr>
        <w:t>）标准的起草制定及修改完善</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本标准在大量调研工作的基础上，于</w:t>
      </w:r>
      <w:r>
        <w:rPr>
          <w:rFonts w:ascii="Times New Roman" w:eastAsia="宋体" w:hAnsi="Times New Roman" w:cs="Times New Roman" w:hint="eastAsia"/>
          <w:bCs/>
          <w:snapToGrid w:val="0"/>
          <w:sz w:val="24"/>
          <w:szCs w:val="24"/>
        </w:rPr>
        <w:t>2023</w:t>
      </w:r>
      <w:r>
        <w:rPr>
          <w:rFonts w:ascii="Times New Roman" w:eastAsia="宋体" w:hAnsi="Times New Roman" w:cs="Times New Roman" w:hint="eastAsia"/>
          <w:bCs/>
          <w:snapToGrid w:val="0"/>
          <w:sz w:val="24"/>
          <w:szCs w:val="24"/>
        </w:rPr>
        <w:t>年</w:t>
      </w:r>
      <w:r>
        <w:rPr>
          <w:rFonts w:ascii="Times New Roman" w:eastAsia="宋体" w:hAnsi="Times New Roman" w:cs="Times New Roman" w:hint="eastAsia"/>
          <w:bCs/>
          <w:snapToGrid w:val="0"/>
          <w:sz w:val="24"/>
          <w:szCs w:val="24"/>
        </w:rPr>
        <w:t>12</w:t>
      </w:r>
      <w:r>
        <w:rPr>
          <w:rFonts w:ascii="Times New Roman" w:eastAsia="宋体" w:hAnsi="Times New Roman" w:cs="Times New Roman" w:hint="eastAsia"/>
          <w:bCs/>
          <w:snapToGrid w:val="0"/>
          <w:sz w:val="24"/>
          <w:szCs w:val="24"/>
        </w:rPr>
        <w:t>月形成了征求意见稿和编制说明初稿</w:t>
      </w:r>
      <w:r>
        <w:rPr>
          <w:rFonts w:ascii="Times New Roman" w:eastAsia="宋体" w:hAnsi="Times New Roman" w:cs="Times New Roman" w:hint="eastAsia"/>
          <w:bCs/>
          <w:snapToGrid w:val="0"/>
          <w:sz w:val="24"/>
          <w:szCs w:val="24"/>
        </w:rPr>
        <w:t xml:space="preserve"> </w:t>
      </w:r>
      <w:r>
        <w:rPr>
          <w:rFonts w:ascii="Times New Roman" w:eastAsia="宋体" w:hAnsi="Times New Roman" w:cs="Times New Roman" w:hint="eastAsia"/>
          <w:bCs/>
          <w:snapToGrid w:val="0"/>
          <w:sz w:val="24"/>
          <w:szCs w:val="24"/>
        </w:rPr>
        <w:t>。</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2024</w:t>
      </w:r>
      <w:r>
        <w:rPr>
          <w:rFonts w:ascii="Times New Roman" w:eastAsia="宋体" w:hAnsi="Times New Roman" w:cs="Times New Roman" w:hint="eastAsia"/>
          <w:bCs/>
          <w:snapToGrid w:val="0"/>
          <w:sz w:val="24"/>
          <w:szCs w:val="24"/>
        </w:rPr>
        <w:t>年</w:t>
      </w:r>
      <w:r>
        <w:rPr>
          <w:rFonts w:ascii="Times New Roman" w:eastAsia="宋体" w:hAnsi="Times New Roman" w:cs="Times New Roman" w:hint="eastAsia"/>
          <w:bCs/>
          <w:snapToGrid w:val="0"/>
          <w:sz w:val="24"/>
          <w:szCs w:val="24"/>
        </w:rPr>
        <w:t>1</w:t>
      </w:r>
      <w:r>
        <w:rPr>
          <w:rFonts w:ascii="Times New Roman" w:eastAsia="宋体" w:hAnsi="Times New Roman" w:cs="Times New Roman" w:hint="eastAsia"/>
          <w:bCs/>
          <w:snapToGrid w:val="0"/>
          <w:sz w:val="24"/>
          <w:szCs w:val="24"/>
        </w:rPr>
        <w:t>月</w:t>
      </w:r>
      <w:r>
        <w:rPr>
          <w:rFonts w:ascii="Times New Roman" w:eastAsia="宋体" w:hAnsi="Times New Roman" w:cs="Times New Roman" w:hint="eastAsia"/>
          <w:bCs/>
          <w:snapToGrid w:val="0"/>
          <w:sz w:val="24"/>
          <w:szCs w:val="24"/>
        </w:rPr>
        <w:t>6</w:t>
      </w:r>
      <w:r>
        <w:rPr>
          <w:rFonts w:ascii="Times New Roman" w:eastAsia="宋体" w:hAnsi="Times New Roman" w:cs="Times New Roman" w:hint="eastAsia"/>
          <w:bCs/>
          <w:snapToGrid w:val="0"/>
          <w:sz w:val="24"/>
          <w:szCs w:val="24"/>
        </w:rPr>
        <w:t>日由中国粮油学会油脂分会组织在长沙召开了《迷迭香油》标准暨油脂抗氧化技术研讨会。听取了各方专家意见。</w:t>
      </w:r>
    </w:p>
    <w:p w:rsidR="00052CF6" w:rsidRDefault="00052CF6">
      <w:pPr>
        <w:snapToGrid w:val="0"/>
        <w:spacing w:line="360" w:lineRule="auto"/>
        <w:ind w:firstLineChars="200" w:firstLine="480"/>
        <w:rPr>
          <w:rFonts w:ascii="Times New Roman" w:eastAsia="宋体" w:hAnsi="Times New Roman" w:cs="Times New Roman"/>
          <w:bCs/>
          <w:snapToGrid w:val="0"/>
          <w:sz w:val="24"/>
          <w:szCs w:val="24"/>
        </w:rPr>
      </w:pPr>
    </w:p>
    <w:p w:rsidR="00052CF6" w:rsidRDefault="0040770F">
      <w:pPr>
        <w:adjustRightInd w:val="0"/>
        <w:snapToGrid w:val="0"/>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lastRenderedPageBreak/>
        <w:t>1</w:t>
      </w:r>
      <w:r>
        <w:rPr>
          <w:rFonts w:ascii="宋体" w:eastAsia="宋体" w:hAnsi="宋体"/>
          <w:b/>
          <w:sz w:val="24"/>
          <w:szCs w:val="24"/>
        </w:rPr>
        <w:t xml:space="preserve">.4 </w:t>
      </w:r>
      <w:r>
        <w:rPr>
          <w:rFonts w:ascii="宋体" w:eastAsia="宋体" w:hAnsi="宋体" w:hint="eastAsia"/>
          <w:b/>
          <w:sz w:val="24"/>
          <w:szCs w:val="24"/>
        </w:rPr>
        <w:t>标准主要起草人及其所做的工作等</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1.4.1</w:t>
      </w:r>
      <w:r>
        <w:rPr>
          <w:rFonts w:ascii="Times New Roman" w:eastAsia="宋体" w:hAnsi="Times New Roman" w:cs="Times New Roman" w:hint="eastAsia"/>
          <w:bCs/>
          <w:snapToGrid w:val="0"/>
          <w:sz w:val="24"/>
          <w:szCs w:val="24"/>
        </w:rPr>
        <w:t>查阅收集国内外相关标准及公开发表的文献等技术资料。</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1.4.2</w:t>
      </w:r>
      <w:r>
        <w:rPr>
          <w:rFonts w:ascii="Times New Roman" w:eastAsia="宋体" w:hAnsi="Times New Roman" w:cs="Times New Roman" w:hint="eastAsia"/>
          <w:bCs/>
          <w:snapToGrid w:val="0"/>
          <w:sz w:val="24"/>
          <w:szCs w:val="24"/>
        </w:rPr>
        <w:t>了解和熟悉迷迭香油油的生产工艺、产品质量状况。</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1.4.3</w:t>
      </w:r>
      <w:r>
        <w:rPr>
          <w:rFonts w:ascii="Times New Roman" w:eastAsia="宋体" w:hAnsi="Times New Roman" w:cs="Times New Roman" w:hint="eastAsia"/>
          <w:bCs/>
          <w:snapToGrid w:val="0"/>
          <w:sz w:val="24"/>
          <w:szCs w:val="24"/>
        </w:rPr>
        <w:t>收集国内迷迭香油样品。</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1.4.4</w:t>
      </w:r>
      <w:r>
        <w:rPr>
          <w:rFonts w:ascii="Times New Roman" w:eastAsia="宋体" w:hAnsi="Times New Roman" w:cs="Times New Roman" w:hint="eastAsia"/>
          <w:bCs/>
          <w:snapToGrid w:val="0"/>
          <w:sz w:val="24"/>
          <w:szCs w:val="24"/>
        </w:rPr>
        <w:t>对迷迭香油质量指标气味、滋味、色泽、鼠尾草酸与鼠尾草酚含量、水分、挥发性成分马鞭草烯酮含量、过氧化值、溶解残留、苯并芘及四种多环芳烃总量等项目进行检测分析。</w:t>
      </w:r>
    </w:p>
    <w:p w:rsidR="00052CF6" w:rsidRDefault="0040770F">
      <w:pPr>
        <w:snapToGrid w:val="0"/>
        <w:spacing w:line="360" w:lineRule="auto"/>
        <w:ind w:firstLineChars="200" w:firstLine="480"/>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1.4.5</w:t>
      </w:r>
      <w:r>
        <w:rPr>
          <w:rFonts w:ascii="Times New Roman" w:eastAsia="宋体" w:hAnsi="Times New Roman" w:cs="Times New Roman" w:hint="eastAsia"/>
          <w:bCs/>
          <w:snapToGrid w:val="0"/>
          <w:sz w:val="24"/>
          <w:szCs w:val="24"/>
        </w:rPr>
        <w:t>根据收集到的相关标准和技术资料，结合迷迭香油的生产实际以及样品分析检测数据，根据</w:t>
      </w:r>
      <w:r>
        <w:rPr>
          <w:rFonts w:ascii="Times New Roman" w:eastAsia="宋体" w:hAnsi="Times New Roman" w:cs="Times New Roman" w:hint="eastAsia"/>
          <w:bCs/>
          <w:snapToGrid w:val="0"/>
          <w:sz w:val="24"/>
          <w:szCs w:val="24"/>
        </w:rPr>
        <w:t>GB/T1.1-2009</w:t>
      </w:r>
      <w:r>
        <w:rPr>
          <w:rFonts w:ascii="Times New Roman" w:eastAsia="宋体" w:hAnsi="Times New Roman" w:cs="Times New Roman" w:hint="eastAsia"/>
          <w:bCs/>
          <w:snapToGrid w:val="0"/>
          <w:sz w:val="24"/>
          <w:szCs w:val="24"/>
        </w:rPr>
        <w:t>等标准编制的要求，参照国家相关食品质量安全的标准，确定标准的相关内容、理化和食品安全要求，编制《迷迭香油》团体标准征求意见稿。</w:t>
      </w:r>
    </w:p>
    <w:p w:rsidR="00052CF6" w:rsidRDefault="0040770F">
      <w:pPr>
        <w:adjustRightInd w:val="0"/>
        <w:snapToGrid w:val="0"/>
        <w:spacing w:beforeLines="100" w:before="312" w:afterLines="100" w:after="312" w:line="360" w:lineRule="auto"/>
        <w:ind w:firstLineChars="200" w:firstLine="482"/>
        <w:jc w:val="left"/>
        <w:rPr>
          <w:rFonts w:ascii="宋体" w:eastAsia="宋体" w:hAnsi="宋体" w:cs="宋体"/>
          <w:kern w:val="0"/>
          <w:sz w:val="24"/>
        </w:rPr>
      </w:pPr>
      <w:r>
        <w:rPr>
          <w:rFonts w:ascii="宋体" w:eastAsia="宋体" w:hAnsi="宋体" w:hint="eastAsia"/>
          <w:b/>
          <w:sz w:val="24"/>
          <w:szCs w:val="24"/>
        </w:rPr>
        <w:t>2．</w:t>
      </w:r>
      <w:r>
        <w:rPr>
          <w:rFonts w:ascii="宋体" w:eastAsia="宋体" w:hAnsi="宋体"/>
          <w:b/>
          <w:sz w:val="24"/>
          <w:szCs w:val="24"/>
        </w:rPr>
        <w:t>标准编制原则和确定标准主要内容</w:t>
      </w:r>
      <w:r>
        <w:rPr>
          <w:rFonts w:ascii="宋体" w:eastAsia="宋体" w:hAnsi="宋体" w:hint="eastAsia"/>
          <w:sz w:val="24"/>
          <w:szCs w:val="24"/>
        </w:rPr>
        <w:t>（如技术指标、参数、公式、性能要求、试验方法、检验规则等）</w:t>
      </w:r>
      <w:r>
        <w:rPr>
          <w:rFonts w:ascii="宋体" w:eastAsia="宋体" w:hAnsi="宋体" w:hint="eastAsia"/>
          <w:b/>
          <w:sz w:val="24"/>
          <w:szCs w:val="24"/>
        </w:rPr>
        <w:t>的论据</w:t>
      </w:r>
      <w:r>
        <w:rPr>
          <w:rFonts w:ascii="宋体" w:eastAsia="宋体" w:hAnsi="宋体" w:hint="eastAsia"/>
          <w:sz w:val="24"/>
          <w:szCs w:val="24"/>
        </w:rPr>
        <w:t>（包括试验、统计数据）。修订标准时，应列出与原标准的主要差异和水平对比.</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迷迭香油团体标准主要内容包括：封面、前言、主体内容，其主体内容及相关论据如下。</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2.1范围</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本标准规定了迷迭香油的术语和定义、分类、质量要求、检验方法、检验规则、标签、包装、储存、运输和销售等要求。本标准适用于成品迷迭香油。</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2.2规范性引用文件</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本标准主要采用了相关国家标准。</w:t>
      </w:r>
    </w:p>
    <w:p w:rsidR="00052CF6" w:rsidRDefault="0040770F">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2.3术语和定义</w:t>
      </w:r>
    </w:p>
    <w:p w:rsidR="00052CF6" w:rsidRDefault="0040770F">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标准的术语和定义参照了GB/T8873-2008《粮油名词术语油脂工业》、GB/T26631-2011《粮油名词术语理化特性和质量》，同时参照国际食品法典委员会CODEX-STAN210《指定的植物油法典标准》，以及《粮食大辞典》、《贝雷油脂化学与工艺学》。</w:t>
      </w:r>
    </w:p>
    <w:p w:rsidR="00052CF6" w:rsidRDefault="0040770F">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按照GB/T20001.1“标准编写规则第1部分：术语”中3.1的规定，制定术语标准的目的是获得一种标准化的术语集，其中概念和术语一一对应，以避免歧</w:t>
      </w:r>
      <w:r>
        <w:rPr>
          <w:rFonts w:ascii="宋体" w:eastAsia="宋体" w:hAnsi="宋体" w:cs="宋体" w:hint="eastAsia"/>
          <w:color w:val="000000"/>
          <w:kern w:val="0"/>
          <w:sz w:val="24"/>
          <w:szCs w:val="24"/>
        </w:rPr>
        <w:lastRenderedPageBreak/>
        <w:t>义和误解。因此，根据迷迭香油产品的特性，鉴于本标准产品为源于迷迭香的食用植物油溶液，将其定义为“迷迭香油（Rosemary oil）”。</w:t>
      </w:r>
    </w:p>
    <w:p w:rsidR="00052CF6" w:rsidRDefault="0040770F">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要求用于本标准产品生产的载体油必须符合食用植物油GB2716标准要求。</w:t>
      </w:r>
    </w:p>
    <w:p w:rsidR="00052CF6" w:rsidRDefault="0040770F">
      <w:pPr>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2.4质量要求</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2.4.1</w:t>
      </w:r>
      <w:r>
        <w:rPr>
          <w:rFonts w:ascii="宋体" w:eastAsia="宋体" w:hAnsi="宋体" w:cs="宋体" w:hint="eastAsia"/>
          <w:kern w:val="0"/>
          <w:sz w:val="24"/>
          <w:szCs w:val="24"/>
        </w:rPr>
        <w:t>气味、滋味</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由于本标准产品拟主要面向食用油脂应用，食用油脂国标中有对气味的明确要求，而少量外源气味物质就会对食用油脂的气味产生影响，因此将其气味、滋味定为“无异味”。</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2色泽</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本标准产品根据收集的多批次产品确定为“浅黄至黄棕色”。</w:t>
      </w:r>
    </w:p>
    <w:p w:rsidR="00052CF6" w:rsidRDefault="0040770F">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3鼠尾草酸含量</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鼠尾草酸是迷迭香中最主要的脂溶性抗氧化成分，该成分的含量直接影响迷迭香油作为抗氧化剂的效果，需要对其含量进行控制。含量控制采用食品安全国家标准“食品添加剂 迷迭香提取物”（GB1886.172-2016）中“A.2 总抗氧化成分(以鼠尾草酸和鼠尾草酚计)的测定”方法进行。</w:t>
      </w:r>
    </w:p>
    <w:p w:rsidR="00052CF6" w:rsidRDefault="0040770F">
      <w:pPr>
        <w:spacing w:afterLines="50" w:after="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由于迷迭香提取物在植物油脂中溶解度不大，实验了其在菜籽油、大豆油、中的溶液稳定性（见下表）。结果迷迭香提取物在植物油脂中的含量以鼠尾草酸计为6%时能保持稳定。因此将迷迭香油的鼠尾草酸含量上限定为6%。</w:t>
      </w:r>
    </w:p>
    <w:tbl>
      <w:tblPr>
        <w:tblStyle w:val="a6"/>
        <w:tblW w:w="8772" w:type="dxa"/>
        <w:jc w:val="center"/>
        <w:tblLook w:val="04A0" w:firstRow="1" w:lastRow="0" w:firstColumn="1" w:lastColumn="0" w:noHBand="0" w:noVBand="1"/>
      </w:tblPr>
      <w:tblGrid>
        <w:gridCol w:w="742"/>
        <w:gridCol w:w="1495"/>
        <w:gridCol w:w="1070"/>
        <w:gridCol w:w="1093"/>
        <w:gridCol w:w="1114"/>
        <w:gridCol w:w="1072"/>
        <w:gridCol w:w="1128"/>
        <w:gridCol w:w="1058"/>
      </w:tblGrid>
      <w:tr w:rsidR="00052CF6">
        <w:trPr>
          <w:jc w:val="center"/>
        </w:trPr>
        <w:tc>
          <w:tcPr>
            <w:tcW w:w="742" w:type="dxa"/>
          </w:tcPr>
          <w:p w:rsidR="00052CF6" w:rsidRDefault="0040770F">
            <w:pPr>
              <w:rPr>
                <w:rFonts w:ascii="宋体" w:eastAsia="宋体" w:hAnsi="宋体" w:cs="宋体"/>
                <w:kern w:val="0"/>
                <w:szCs w:val="21"/>
              </w:rPr>
            </w:pPr>
            <w:r>
              <w:rPr>
                <w:rFonts w:ascii="宋体" w:eastAsia="宋体" w:hAnsi="宋体" w:cs="宋体" w:hint="eastAsia"/>
                <w:kern w:val="0"/>
                <w:szCs w:val="21"/>
              </w:rPr>
              <w:t>基础油</w:t>
            </w:r>
          </w:p>
        </w:tc>
        <w:tc>
          <w:tcPr>
            <w:tcW w:w="1495" w:type="dxa"/>
          </w:tcPr>
          <w:p w:rsidR="00052CF6" w:rsidRDefault="0040770F">
            <w:pPr>
              <w:rPr>
                <w:rFonts w:ascii="宋体" w:eastAsia="宋体" w:hAnsi="宋体" w:cs="宋体"/>
                <w:kern w:val="0"/>
                <w:szCs w:val="21"/>
              </w:rPr>
            </w:pPr>
            <w:r>
              <w:rPr>
                <w:rFonts w:ascii="宋体" w:eastAsia="宋体" w:hAnsi="宋体" w:cs="宋体" w:hint="eastAsia"/>
                <w:kern w:val="0"/>
                <w:szCs w:val="21"/>
              </w:rPr>
              <w:t>含量（以鼠尾草酸计，%）</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0月</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7天</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15天</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1月</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2月</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6月</w:t>
            </w:r>
          </w:p>
        </w:tc>
      </w:tr>
      <w:tr w:rsidR="00052CF6">
        <w:trPr>
          <w:jc w:val="center"/>
        </w:trPr>
        <w:tc>
          <w:tcPr>
            <w:tcW w:w="742" w:type="dxa"/>
            <w:vMerge w:val="restart"/>
          </w:tcPr>
          <w:p w:rsidR="00052CF6" w:rsidRDefault="0040770F">
            <w:pPr>
              <w:rPr>
                <w:rFonts w:ascii="宋体" w:eastAsia="宋体" w:hAnsi="宋体" w:cs="宋体"/>
                <w:kern w:val="0"/>
                <w:szCs w:val="21"/>
              </w:rPr>
            </w:pPr>
            <w:r>
              <w:rPr>
                <w:rFonts w:ascii="宋体" w:eastAsia="宋体" w:hAnsi="宋体" w:cs="宋体" w:hint="eastAsia"/>
                <w:kern w:val="0"/>
                <w:szCs w:val="21"/>
              </w:rPr>
              <w:t>菜籽油</w:t>
            </w: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10</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出现沉淀</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沉淀增多</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8</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出现沉淀</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沉淀增多</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7</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少量沉淀</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6</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5</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r>
      <w:tr w:rsidR="00052CF6">
        <w:trPr>
          <w:jc w:val="center"/>
        </w:trPr>
        <w:tc>
          <w:tcPr>
            <w:tcW w:w="742" w:type="dxa"/>
            <w:vMerge w:val="restart"/>
          </w:tcPr>
          <w:p w:rsidR="00052CF6" w:rsidRDefault="0040770F">
            <w:pPr>
              <w:rPr>
                <w:rFonts w:ascii="宋体" w:eastAsia="宋体" w:hAnsi="宋体" w:cs="宋体"/>
                <w:kern w:val="0"/>
                <w:szCs w:val="21"/>
              </w:rPr>
            </w:pPr>
            <w:r>
              <w:rPr>
                <w:rFonts w:ascii="宋体" w:eastAsia="宋体" w:hAnsi="宋体" w:cs="宋体" w:hint="eastAsia"/>
                <w:kern w:val="0"/>
                <w:szCs w:val="21"/>
              </w:rPr>
              <w:t>大豆油</w:t>
            </w: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10</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出现沉淀</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沉淀增多</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8</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出现沉淀</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沉淀增多</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7</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少量沉淀</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6</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5</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r>
      <w:tr w:rsidR="00052CF6">
        <w:trPr>
          <w:jc w:val="center"/>
        </w:trPr>
        <w:tc>
          <w:tcPr>
            <w:tcW w:w="742" w:type="dxa"/>
            <w:vMerge w:val="restart"/>
          </w:tcPr>
          <w:p w:rsidR="00052CF6" w:rsidRDefault="0040770F">
            <w:pPr>
              <w:rPr>
                <w:rFonts w:ascii="宋体" w:eastAsia="宋体" w:hAnsi="宋体" w:cs="宋体"/>
                <w:kern w:val="0"/>
                <w:szCs w:val="21"/>
              </w:rPr>
            </w:pPr>
            <w:r>
              <w:rPr>
                <w:rFonts w:ascii="宋体" w:eastAsia="宋体" w:hAnsi="宋体" w:cs="宋体" w:hint="eastAsia"/>
                <w:kern w:val="0"/>
                <w:szCs w:val="21"/>
              </w:rPr>
              <w:t>葵花籽油</w:t>
            </w: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10</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出现沉淀</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沉淀增多</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8</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出现沉淀</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沉淀增多</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7</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基本澄清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少量沉淀</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6</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r>
      <w:tr w:rsidR="00052CF6">
        <w:trPr>
          <w:jc w:val="center"/>
        </w:trPr>
        <w:tc>
          <w:tcPr>
            <w:tcW w:w="742" w:type="dxa"/>
            <w:vMerge/>
          </w:tcPr>
          <w:p w:rsidR="00052CF6" w:rsidRDefault="00052CF6">
            <w:pPr>
              <w:rPr>
                <w:rFonts w:ascii="宋体" w:eastAsia="宋体" w:hAnsi="宋体" w:cs="宋体"/>
                <w:kern w:val="0"/>
                <w:szCs w:val="21"/>
              </w:rPr>
            </w:pPr>
          </w:p>
        </w:tc>
        <w:tc>
          <w:tcPr>
            <w:tcW w:w="1495"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5</w:t>
            </w:r>
          </w:p>
        </w:tc>
        <w:tc>
          <w:tcPr>
            <w:tcW w:w="1070"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93"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14"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72"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12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c>
          <w:tcPr>
            <w:tcW w:w="1058" w:type="dxa"/>
          </w:tcPr>
          <w:p w:rsidR="00052CF6" w:rsidRDefault="0040770F">
            <w:pPr>
              <w:rPr>
                <w:rFonts w:ascii="宋体" w:eastAsia="宋体" w:hAnsi="宋体" w:cs="宋体"/>
                <w:kern w:val="0"/>
                <w:szCs w:val="21"/>
              </w:rPr>
            </w:pPr>
            <w:r>
              <w:rPr>
                <w:rFonts w:ascii="宋体" w:eastAsia="宋体" w:hAnsi="宋体" w:cs="宋体" w:hint="eastAsia"/>
                <w:kern w:val="0"/>
                <w:szCs w:val="21"/>
              </w:rPr>
              <w:t>澄清</w:t>
            </w:r>
          </w:p>
        </w:tc>
      </w:tr>
    </w:tbl>
    <w:p w:rsidR="00052CF6" w:rsidRDefault="00052CF6">
      <w:pPr>
        <w:spacing w:line="360" w:lineRule="auto"/>
        <w:ind w:firstLineChars="200" w:firstLine="480"/>
        <w:rPr>
          <w:rFonts w:ascii="宋体" w:eastAsia="宋体" w:hAnsi="宋体" w:cs="宋体"/>
          <w:kern w:val="0"/>
          <w:sz w:val="24"/>
          <w:szCs w:val="24"/>
        </w:rPr>
      </w:pP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4鼠尾草酚含量</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鼠尾草酚是鼠尾草酸的降解产物，鼠尾草酚含量增加表示部分鼠尾草酸已被部分降解，由于鼠尾草酚也有一定的抗氧化性，因此食品安全国家标准“食品添加剂 迷迭香提取物”（GB1886.172-2016）中也将其列入总抗氧化成分中，但由于其相对于鼠尾草酸极性增大，在油溶液中溶解度较小，易在油溶液中析出，影响本标准产品的稳定性，有必要对它的含量进行限定，结合收集多批次产品的含量测定结果并处于同行业的生产可行性，暂定其含量上限为0.6%。</w:t>
      </w:r>
    </w:p>
    <w:p w:rsidR="00052CF6" w:rsidRDefault="0040770F">
      <w:pPr>
        <w:spacing w:afterLines="50" w:after="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鼠尾草酚的含量测定方法采用食品安全国家标准“食品添加剂 迷迭香提取物”（GB1886.172-2016）中“A.2 总抗氧化成分(以鼠尾草酸和鼠尾草酚计)的测定”方法进行。</w:t>
      </w:r>
    </w:p>
    <w:tbl>
      <w:tblPr>
        <w:tblStyle w:val="a6"/>
        <w:tblW w:w="0" w:type="auto"/>
        <w:jc w:val="center"/>
        <w:tblLook w:val="04A0" w:firstRow="1" w:lastRow="0" w:firstColumn="1" w:lastColumn="0" w:noHBand="0" w:noVBand="1"/>
      </w:tblPr>
      <w:tblGrid>
        <w:gridCol w:w="2437"/>
        <w:gridCol w:w="2662"/>
      </w:tblGrid>
      <w:tr w:rsidR="00052CF6">
        <w:trPr>
          <w:jc w:val="center"/>
        </w:trPr>
        <w:tc>
          <w:tcPr>
            <w:tcW w:w="2437" w:type="dxa"/>
          </w:tcPr>
          <w:p w:rsidR="00052CF6" w:rsidRDefault="0040770F">
            <w:pPr>
              <w:jc w:val="center"/>
              <w:rPr>
                <w:rFonts w:ascii="宋体" w:eastAsia="宋体" w:hAnsi="宋体" w:cs="宋体"/>
                <w:kern w:val="0"/>
                <w:szCs w:val="21"/>
              </w:rPr>
            </w:pPr>
            <w:r>
              <w:rPr>
                <w:rFonts w:ascii="宋体" w:eastAsia="宋体" w:hAnsi="宋体" w:cs="宋体" w:hint="eastAsia"/>
                <w:kern w:val="0"/>
                <w:szCs w:val="21"/>
              </w:rPr>
              <w:t>迷迭香油生产编号</w:t>
            </w:r>
          </w:p>
        </w:tc>
        <w:tc>
          <w:tcPr>
            <w:tcW w:w="2662" w:type="dxa"/>
          </w:tcPr>
          <w:p w:rsidR="00052CF6" w:rsidRDefault="0040770F">
            <w:pPr>
              <w:rPr>
                <w:rFonts w:ascii="宋体" w:eastAsia="宋体" w:hAnsi="宋体" w:cs="宋体"/>
                <w:kern w:val="0"/>
                <w:szCs w:val="21"/>
              </w:rPr>
            </w:pPr>
            <w:r>
              <w:rPr>
                <w:rFonts w:ascii="宋体" w:eastAsia="宋体" w:hAnsi="宋体" w:cs="宋体" w:hint="eastAsia"/>
                <w:kern w:val="0"/>
                <w:szCs w:val="21"/>
              </w:rPr>
              <w:t>鼠尾草酚含量（%）</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230353-2</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0.57</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230353-3</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0.33</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230353-4</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0.31</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230353-5</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0.33</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230353-6</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0.40</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230353-7</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0.39</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230353-8</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0.43</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230353-9</w:t>
            </w:r>
          </w:p>
        </w:tc>
        <w:tc>
          <w:tcPr>
            <w:tcW w:w="2662" w:type="dxa"/>
            <w:vAlign w:val="center"/>
          </w:tcPr>
          <w:p w:rsidR="00052CF6" w:rsidRDefault="0040770F">
            <w:pPr>
              <w:widowControl/>
              <w:jc w:val="center"/>
              <w:textAlignment w:val="center"/>
              <w:rPr>
                <w:rFonts w:ascii="宋体" w:eastAsia="宋体" w:hAnsi="宋体" w:cs="宋体"/>
                <w:kern w:val="0"/>
                <w:szCs w:val="21"/>
              </w:rPr>
            </w:pPr>
            <w:r>
              <w:rPr>
                <w:rFonts w:ascii="宋体" w:eastAsia="宋体" w:hAnsi="宋体" w:cs="宋体" w:hint="eastAsia"/>
                <w:color w:val="000000"/>
                <w:kern w:val="0"/>
                <w:szCs w:val="21"/>
                <w:lang w:bidi="ar"/>
              </w:rPr>
              <w:t>0.47</w:t>
            </w:r>
          </w:p>
        </w:tc>
      </w:tr>
    </w:tbl>
    <w:p w:rsidR="00052CF6" w:rsidRDefault="0040770F">
      <w:pPr>
        <w:spacing w:beforeLines="50" w:before="156"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5水分</w:t>
      </w:r>
    </w:p>
    <w:p w:rsidR="00052CF6" w:rsidRDefault="0040770F">
      <w:pPr>
        <w:spacing w:afterLines="50" w:after="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本标准产品定位为油脂抗氧化产品，不适合于长时间减压加热脱除水分，采用按GB 5009.236方法进行测</w:t>
      </w:r>
      <w:r>
        <w:rPr>
          <w:rFonts w:ascii="宋体" w:eastAsia="宋体" w:hAnsi="宋体" w:cs="宋体" w:hint="eastAsia"/>
          <w:sz w:val="24"/>
          <w:szCs w:val="24"/>
        </w:rPr>
        <w:t>定，</w:t>
      </w:r>
      <w:r>
        <w:rPr>
          <w:rFonts w:ascii="宋体" w:eastAsia="宋体" w:hAnsi="宋体" w:cs="宋体" w:hint="eastAsia"/>
          <w:kern w:val="0"/>
          <w:sz w:val="24"/>
          <w:szCs w:val="24"/>
        </w:rPr>
        <w:t>根据收集多批次样品的水分数据（见下表），因此暂定水分不超过1%。</w:t>
      </w:r>
    </w:p>
    <w:tbl>
      <w:tblPr>
        <w:tblStyle w:val="a6"/>
        <w:tblW w:w="0" w:type="auto"/>
        <w:jc w:val="center"/>
        <w:tblLook w:val="04A0" w:firstRow="1" w:lastRow="0" w:firstColumn="1" w:lastColumn="0" w:noHBand="0" w:noVBand="1"/>
      </w:tblPr>
      <w:tblGrid>
        <w:gridCol w:w="2437"/>
        <w:gridCol w:w="2662"/>
      </w:tblGrid>
      <w:tr w:rsidR="00052CF6">
        <w:trPr>
          <w:jc w:val="center"/>
        </w:trPr>
        <w:tc>
          <w:tcPr>
            <w:tcW w:w="2437" w:type="dxa"/>
          </w:tcPr>
          <w:p w:rsidR="00052CF6" w:rsidRDefault="0040770F">
            <w:pPr>
              <w:jc w:val="center"/>
              <w:rPr>
                <w:rFonts w:ascii="宋体" w:eastAsia="宋体" w:hAnsi="宋体" w:cs="宋体"/>
                <w:kern w:val="0"/>
                <w:sz w:val="24"/>
                <w:szCs w:val="24"/>
              </w:rPr>
            </w:pPr>
            <w:r>
              <w:rPr>
                <w:rFonts w:ascii="宋体" w:eastAsia="宋体" w:hAnsi="宋体" w:cs="宋体" w:hint="eastAsia"/>
                <w:kern w:val="0"/>
                <w:sz w:val="24"/>
                <w:szCs w:val="24"/>
              </w:rPr>
              <w:t>迷迭香油生产编号</w:t>
            </w:r>
          </w:p>
        </w:tc>
        <w:tc>
          <w:tcPr>
            <w:tcW w:w="2662" w:type="dxa"/>
          </w:tcPr>
          <w:p w:rsidR="00052CF6" w:rsidRDefault="0040770F">
            <w:pPr>
              <w:rPr>
                <w:rFonts w:ascii="宋体" w:eastAsia="宋体" w:hAnsi="宋体" w:cs="宋体"/>
                <w:kern w:val="0"/>
                <w:sz w:val="24"/>
                <w:szCs w:val="24"/>
              </w:rPr>
            </w:pPr>
            <w:r>
              <w:rPr>
                <w:rFonts w:ascii="宋体" w:eastAsia="宋体" w:hAnsi="宋体" w:cs="宋体" w:hint="eastAsia"/>
                <w:kern w:val="0"/>
                <w:sz w:val="24"/>
                <w:szCs w:val="24"/>
              </w:rPr>
              <w:t>水分含量（%）</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230353-2</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 xml:space="preserve">0.35 </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230353-3</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0.26</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230353-4</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0.41</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230353-5</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0.27</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230353-6</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0.20</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230353-7</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0.31</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230353-8</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0.24</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230353-9</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0.29</w:t>
            </w:r>
          </w:p>
        </w:tc>
      </w:tr>
    </w:tbl>
    <w:p w:rsidR="00052CF6" w:rsidRDefault="0040770F">
      <w:pPr>
        <w:spacing w:beforeLines="50" w:before="156"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lastRenderedPageBreak/>
        <w:t>2.4.</w:t>
      </w:r>
      <w:r>
        <w:rPr>
          <w:rFonts w:ascii="宋体" w:eastAsia="宋体" w:hAnsi="宋体" w:cs="宋体" w:hint="eastAsia"/>
          <w:kern w:val="0"/>
          <w:sz w:val="24"/>
          <w:szCs w:val="24"/>
        </w:rPr>
        <w:t>6马鞭草烯酮含量测定方法</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迷迭香（叶）中挥发油含量约为1-2%，主要成分大多为高沸点成分，如α-蒎烯（155℃）、1,8-桉叶素（176-177°C）、马鞭烯酮（227-228 °C）、樟脑（209℃）、冰片（212℃），该类成分通常表现为较重的气味。鉴于本标准产品用于油脂抗氧化，有必要对气味成分含量进行限定。由于马鞭烯酮沸点最高，拟控制该成分含量能有效控制挥发性物质的含量，并对其含量测定方法学进行了系统研究。</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6.1</w:t>
      </w:r>
      <w:r>
        <w:rPr>
          <w:rFonts w:ascii="宋体" w:eastAsia="宋体" w:hAnsi="宋体" w:cs="宋体" w:hint="eastAsia"/>
          <w:color w:val="000000"/>
          <w:kern w:val="0"/>
          <w:sz w:val="24"/>
          <w:szCs w:val="24"/>
          <w:lang w:bidi="ar"/>
        </w:rPr>
        <w:t xml:space="preserve"> 试剂和材料 </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无水甲醇(分析纯),马鞭草烯酮标准品(纯度≥98%)。</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6.2</w:t>
      </w:r>
      <w:r>
        <w:rPr>
          <w:rFonts w:ascii="宋体" w:eastAsia="宋体" w:hAnsi="宋体" w:cs="宋体" w:hint="eastAsia"/>
          <w:color w:val="000000"/>
          <w:kern w:val="0"/>
          <w:sz w:val="24"/>
          <w:szCs w:val="24"/>
          <w:lang w:bidi="ar"/>
        </w:rPr>
        <w:t xml:space="preserve">仪器和设备 </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气相色谱仪，符合GB/T 9722相关要求。 </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6.3</w:t>
      </w:r>
      <w:r>
        <w:rPr>
          <w:rFonts w:ascii="宋体" w:eastAsia="宋体" w:hAnsi="宋体" w:cs="宋体" w:hint="eastAsia"/>
          <w:color w:val="000000"/>
          <w:kern w:val="0"/>
          <w:sz w:val="24"/>
          <w:szCs w:val="24"/>
          <w:lang w:bidi="ar"/>
        </w:rPr>
        <w:t xml:space="preserve">色谱条件 </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色谱柱：HP-1毛细管柱（30ｍ×0.320ｍｍ，0.25μm）; 检测器:FID检测器；进口温度250℃，检测器温度300℃；载气为高纯氮气，纯度大于99.99%；检测器气体流量：氢气，30mL/min；空气，400mL/min；柱流量及控制模式：恒压模式，柱流量1mL/min；进样模式：分流进样，分流比1:10；尾吹气流量：25mL/min；色谱柱温度程序：初始温度为50℃，以4℃/min的升温速率升至100℃，不保留，继续以8℃/min的升温速率升至140℃，不保留，继续以30℃/min的速率升温至230℃，保留2min.</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6.4</w:t>
      </w:r>
      <w:r>
        <w:rPr>
          <w:rFonts w:ascii="宋体" w:eastAsia="宋体" w:hAnsi="宋体" w:cs="宋体" w:hint="eastAsia"/>
          <w:color w:val="000000"/>
          <w:kern w:val="0"/>
          <w:sz w:val="24"/>
          <w:szCs w:val="24"/>
          <w:lang w:bidi="ar"/>
        </w:rPr>
        <w:t xml:space="preserve"> 标准曲线 </w:t>
      </w:r>
    </w:p>
    <w:p w:rsidR="00052CF6" w:rsidRDefault="0040770F">
      <w:pPr>
        <w:widowControl/>
        <w:spacing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在25ml容量瓶中，先加入约10ml无水甲醇，再加入马鞭草烯酮标准品1滴，质量为0.0192g，用无水甲醇定容后，摇匀。分别取该标液0.5ml、1.0ml、1.5ml、2.0ml、3.0ml、6.0ml、9.0ml加入到25ml容量瓶中，容量瓶中提前加约10ml无水甲醇。用无水甲醇定容至25ml，摇匀，再经0.45um滤膜过滤后进样。在16.6min出现马鞭草烯酮的色谱峰。</w:t>
      </w:r>
    </w:p>
    <w:p w:rsidR="00052CF6" w:rsidRDefault="0040770F">
      <w:pPr>
        <w:widowControl/>
        <w:spacing w:afterLines="50" w:after="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以标准品的浓度为横坐标，相应的峰面积为纵坐标作图，二者呈线性关系，标准曲线的回归方程为y=5.7987x-8.2406，相关系数为0.99823，在浓度10-500ug/ml范围内，线性关系良好。</w:t>
      </w:r>
    </w:p>
    <w:tbl>
      <w:tblPr>
        <w:tblStyle w:val="a6"/>
        <w:tblW w:w="0" w:type="auto"/>
        <w:jc w:val="center"/>
        <w:tblLayout w:type="fixed"/>
        <w:tblLook w:val="04A0" w:firstRow="1" w:lastRow="0" w:firstColumn="1" w:lastColumn="0" w:noHBand="0" w:noVBand="1"/>
      </w:tblPr>
      <w:tblGrid>
        <w:gridCol w:w="2051"/>
        <w:gridCol w:w="2151"/>
      </w:tblGrid>
      <w:tr w:rsidR="00052CF6">
        <w:trPr>
          <w:jc w:val="center"/>
        </w:trPr>
        <w:tc>
          <w:tcPr>
            <w:tcW w:w="2051" w:type="dxa"/>
          </w:tcPr>
          <w:p w:rsidR="00052CF6" w:rsidRDefault="0040770F">
            <w:pPr>
              <w:widowControl/>
              <w:adjustRightInd w:val="0"/>
              <w:snapToGrid w:val="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标准品浓度(ug/ml)</w:t>
            </w:r>
          </w:p>
        </w:tc>
        <w:tc>
          <w:tcPr>
            <w:tcW w:w="2151" w:type="dxa"/>
          </w:tcPr>
          <w:p w:rsidR="00052CF6" w:rsidRDefault="0040770F">
            <w:pPr>
              <w:widowControl/>
              <w:adjustRightInd w:val="0"/>
              <w:snapToGrid w:val="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峰面积</w:t>
            </w:r>
          </w:p>
        </w:tc>
      </w:tr>
      <w:tr w:rsidR="00052CF6">
        <w:trPr>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lastRenderedPageBreak/>
              <w:t>15.36</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70.3</w:t>
            </w:r>
          </w:p>
        </w:tc>
      </w:tr>
      <w:tr w:rsidR="00052CF6">
        <w:trPr>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30.72</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142.4</w:t>
            </w:r>
          </w:p>
        </w:tc>
      </w:tr>
      <w:tr w:rsidR="00052CF6">
        <w:trPr>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46.08</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239.7</w:t>
            </w:r>
          </w:p>
        </w:tc>
      </w:tr>
      <w:tr w:rsidR="00052CF6">
        <w:trPr>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61.44</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325.8</w:t>
            </w:r>
          </w:p>
        </w:tc>
      </w:tr>
      <w:tr w:rsidR="00052CF6">
        <w:trPr>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92.16</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526.1</w:t>
            </w:r>
          </w:p>
        </w:tc>
      </w:tr>
      <w:tr w:rsidR="00052CF6">
        <w:trPr>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184.32</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1096.4</w:t>
            </w:r>
          </w:p>
        </w:tc>
      </w:tr>
      <w:tr w:rsidR="00052CF6">
        <w:trPr>
          <w:trHeight w:val="91"/>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276.48</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1683.8</w:t>
            </w:r>
          </w:p>
        </w:tc>
      </w:tr>
      <w:tr w:rsidR="00052CF6">
        <w:trPr>
          <w:trHeight w:val="90"/>
          <w:jc w:val="center"/>
        </w:trPr>
        <w:tc>
          <w:tcPr>
            <w:tcW w:w="20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523.2</w:t>
            </w:r>
          </w:p>
        </w:tc>
        <w:tc>
          <w:tcPr>
            <w:tcW w:w="2151" w:type="dxa"/>
          </w:tcPr>
          <w:p w:rsidR="00052CF6" w:rsidRDefault="0040770F">
            <w:pPr>
              <w:widowControl/>
              <w:adjustRightInd w:val="0"/>
              <w:snapToGrid w:val="0"/>
              <w:jc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2972.3</w:t>
            </w:r>
          </w:p>
        </w:tc>
      </w:tr>
    </w:tbl>
    <w:p w:rsidR="00052CF6" w:rsidRDefault="00052CF6">
      <w:pPr>
        <w:widowControl/>
        <w:spacing w:line="360" w:lineRule="auto"/>
        <w:ind w:firstLineChars="200" w:firstLine="480"/>
        <w:jc w:val="left"/>
        <w:rPr>
          <w:rFonts w:ascii="宋体" w:eastAsia="宋体" w:hAnsi="宋体" w:cs="宋体"/>
          <w:color w:val="000000"/>
          <w:kern w:val="0"/>
          <w:sz w:val="24"/>
          <w:szCs w:val="24"/>
          <w:lang w:bidi="ar"/>
        </w:rPr>
      </w:pPr>
    </w:p>
    <w:p w:rsidR="00052CF6" w:rsidRDefault="0040770F">
      <w:pPr>
        <w:spacing w:line="360" w:lineRule="auto"/>
        <w:ind w:firstLineChars="200" w:firstLine="480"/>
        <w:jc w:val="center"/>
        <w:rPr>
          <w:rFonts w:ascii="宋体" w:eastAsia="宋体" w:hAnsi="宋体" w:cs="宋体"/>
          <w:sz w:val="24"/>
          <w:szCs w:val="24"/>
        </w:rPr>
      </w:pPr>
      <w:r>
        <w:rPr>
          <w:rFonts w:ascii="宋体" w:eastAsia="宋体" w:hAnsi="宋体" w:cs="宋体" w:hint="eastAsia"/>
          <w:sz w:val="24"/>
          <w:szCs w:val="24"/>
        </w:rPr>
        <w:object w:dxaOrig="5660" w:dyaOrig="2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7.5pt" o:ole="" o:gfxdata="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&#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">
            <v:imagedata r:id="rId8" o:title=""/>
            <o:lock v:ext="edit" aspectratio="f"/>
          </v:shape>
          <o:OLEObject Type="Embed" ProgID="Excel.Sheet.8" ShapeID="_x0000_i1025" DrawAspect="Content" ObjectID="_1768293217" r:id="rId9"/>
        </w:object>
      </w:r>
    </w:p>
    <w:p w:rsidR="00052CF6" w:rsidRDefault="0040770F">
      <w:pPr>
        <w:widowControl/>
        <w:spacing w:beforeLines="50" w:before="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6.5</w:t>
      </w:r>
      <w:r>
        <w:rPr>
          <w:rFonts w:ascii="宋体" w:eastAsia="宋体" w:hAnsi="宋体" w:cs="宋体" w:hint="eastAsia"/>
          <w:color w:val="000000"/>
          <w:kern w:val="0"/>
          <w:sz w:val="24"/>
          <w:szCs w:val="24"/>
          <w:lang w:bidi="ar"/>
        </w:rPr>
        <w:t>精密度试验</w:t>
      </w:r>
    </w:p>
    <w:p w:rsidR="00052CF6" w:rsidRDefault="0040770F">
      <w:pPr>
        <w:widowControl/>
        <w:spacing w:afterLines="50" w:after="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称取0.500g迷迭香油样品，用无水甲醇充分混匀溶解，定容至25ml，0.45μm 微孔滤膜过滤。 连续进样6次，根据色谱图中色谱峰的峰面积计算RSD，结果见下表。</w:t>
      </w:r>
    </w:p>
    <w:tbl>
      <w:tblPr>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106"/>
        <w:gridCol w:w="1106"/>
        <w:gridCol w:w="1105"/>
        <w:gridCol w:w="1106"/>
        <w:gridCol w:w="1106"/>
        <w:gridCol w:w="1106"/>
      </w:tblGrid>
      <w:tr w:rsidR="00052CF6">
        <w:trPr>
          <w:cantSplit/>
          <w:trHeight w:val="325"/>
        </w:trPr>
        <w:tc>
          <w:tcPr>
            <w:tcW w:w="1105"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次数</w:t>
            </w:r>
          </w:p>
        </w:tc>
        <w:tc>
          <w:tcPr>
            <w:tcW w:w="1106"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1</w:t>
            </w:r>
          </w:p>
        </w:tc>
        <w:tc>
          <w:tcPr>
            <w:tcW w:w="1106"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2</w:t>
            </w:r>
          </w:p>
        </w:tc>
        <w:tc>
          <w:tcPr>
            <w:tcW w:w="1105"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3</w:t>
            </w:r>
          </w:p>
        </w:tc>
        <w:tc>
          <w:tcPr>
            <w:tcW w:w="1106"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4</w:t>
            </w:r>
          </w:p>
        </w:tc>
        <w:tc>
          <w:tcPr>
            <w:tcW w:w="1106"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5</w:t>
            </w:r>
          </w:p>
        </w:tc>
        <w:tc>
          <w:tcPr>
            <w:tcW w:w="1106"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6</w:t>
            </w:r>
          </w:p>
        </w:tc>
      </w:tr>
      <w:tr w:rsidR="00052CF6">
        <w:trPr>
          <w:cantSplit/>
          <w:trHeight w:val="323"/>
        </w:trPr>
        <w:tc>
          <w:tcPr>
            <w:tcW w:w="1105"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峰面积</w:t>
            </w:r>
          </w:p>
        </w:tc>
        <w:tc>
          <w:tcPr>
            <w:tcW w:w="1106" w:type="dxa"/>
            <w:tcBorders>
              <w:tl2br w:val="nil"/>
              <w:tr2bl w:val="nil"/>
            </w:tcBorders>
            <w:vAlign w:val="center"/>
          </w:tcPr>
          <w:p w:rsidR="00052CF6" w:rsidRDefault="0040770F">
            <w:pPr>
              <w:widowControl/>
              <w:jc w:val="center"/>
              <w:rPr>
                <w:rFonts w:ascii="宋体" w:eastAsia="宋体" w:hAnsi="宋体" w:cs="宋体"/>
                <w:sz w:val="24"/>
                <w:szCs w:val="24"/>
              </w:rPr>
            </w:pPr>
            <w:r>
              <w:rPr>
                <w:rFonts w:ascii="宋体" w:eastAsia="宋体" w:hAnsi="宋体" w:cs="宋体" w:hint="eastAsia"/>
                <w:color w:val="000000"/>
                <w:kern w:val="0"/>
                <w:sz w:val="24"/>
                <w:szCs w:val="24"/>
                <w:lang w:bidi="ar"/>
              </w:rPr>
              <w:t>30.5</w:t>
            </w:r>
          </w:p>
        </w:tc>
        <w:tc>
          <w:tcPr>
            <w:tcW w:w="1106" w:type="dxa"/>
            <w:tcBorders>
              <w:tl2br w:val="nil"/>
              <w:tr2bl w:val="nil"/>
            </w:tcBorders>
            <w:vAlign w:val="center"/>
          </w:tcPr>
          <w:p w:rsidR="00052CF6" w:rsidRDefault="0040770F">
            <w:pPr>
              <w:widowControl/>
              <w:jc w:val="center"/>
              <w:rPr>
                <w:rFonts w:ascii="宋体" w:eastAsia="宋体" w:hAnsi="宋体" w:cs="宋体"/>
                <w:sz w:val="24"/>
                <w:szCs w:val="24"/>
              </w:rPr>
            </w:pPr>
            <w:r>
              <w:rPr>
                <w:rFonts w:ascii="宋体" w:eastAsia="宋体" w:hAnsi="宋体" w:cs="宋体" w:hint="eastAsia"/>
                <w:color w:val="000000"/>
                <w:kern w:val="0"/>
                <w:sz w:val="24"/>
                <w:szCs w:val="24"/>
                <w:lang w:bidi="ar"/>
              </w:rPr>
              <w:t>31.7</w:t>
            </w:r>
          </w:p>
        </w:tc>
        <w:tc>
          <w:tcPr>
            <w:tcW w:w="1105" w:type="dxa"/>
            <w:tcBorders>
              <w:tl2br w:val="nil"/>
              <w:tr2bl w:val="nil"/>
            </w:tcBorders>
            <w:vAlign w:val="center"/>
          </w:tcPr>
          <w:p w:rsidR="00052CF6" w:rsidRDefault="0040770F">
            <w:pPr>
              <w:widowControl/>
              <w:jc w:val="center"/>
              <w:rPr>
                <w:rFonts w:ascii="宋体" w:eastAsia="宋体" w:hAnsi="宋体" w:cs="宋体"/>
                <w:sz w:val="24"/>
                <w:szCs w:val="24"/>
              </w:rPr>
            </w:pPr>
            <w:r>
              <w:rPr>
                <w:rFonts w:ascii="宋体" w:eastAsia="宋体" w:hAnsi="宋体" w:cs="宋体" w:hint="eastAsia"/>
                <w:color w:val="000000"/>
                <w:kern w:val="0"/>
                <w:sz w:val="24"/>
                <w:szCs w:val="24"/>
                <w:lang w:bidi="ar"/>
              </w:rPr>
              <w:t>31</w:t>
            </w:r>
          </w:p>
        </w:tc>
        <w:tc>
          <w:tcPr>
            <w:tcW w:w="1106" w:type="dxa"/>
            <w:tcBorders>
              <w:tl2br w:val="nil"/>
              <w:tr2bl w:val="nil"/>
            </w:tcBorders>
            <w:vAlign w:val="center"/>
          </w:tcPr>
          <w:p w:rsidR="00052CF6" w:rsidRDefault="0040770F">
            <w:pPr>
              <w:widowControl/>
              <w:jc w:val="center"/>
              <w:rPr>
                <w:rFonts w:ascii="宋体" w:eastAsia="宋体" w:hAnsi="宋体" w:cs="宋体"/>
                <w:sz w:val="24"/>
                <w:szCs w:val="24"/>
              </w:rPr>
            </w:pPr>
            <w:r>
              <w:rPr>
                <w:rFonts w:ascii="宋体" w:eastAsia="宋体" w:hAnsi="宋体" w:cs="宋体" w:hint="eastAsia"/>
                <w:color w:val="000000"/>
                <w:kern w:val="0"/>
                <w:sz w:val="24"/>
                <w:szCs w:val="24"/>
                <w:lang w:bidi="ar"/>
              </w:rPr>
              <w:t>31.5</w:t>
            </w:r>
          </w:p>
        </w:tc>
        <w:tc>
          <w:tcPr>
            <w:tcW w:w="1106" w:type="dxa"/>
            <w:tcBorders>
              <w:tl2br w:val="nil"/>
              <w:tr2bl w:val="nil"/>
            </w:tcBorders>
            <w:vAlign w:val="center"/>
          </w:tcPr>
          <w:p w:rsidR="00052CF6" w:rsidRDefault="0040770F">
            <w:pPr>
              <w:widowControl/>
              <w:jc w:val="center"/>
              <w:rPr>
                <w:rFonts w:ascii="宋体" w:eastAsia="宋体" w:hAnsi="宋体" w:cs="宋体"/>
                <w:sz w:val="24"/>
                <w:szCs w:val="24"/>
              </w:rPr>
            </w:pPr>
            <w:r>
              <w:rPr>
                <w:rFonts w:ascii="宋体" w:eastAsia="宋体" w:hAnsi="宋体" w:cs="宋体" w:hint="eastAsia"/>
                <w:color w:val="000000"/>
                <w:kern w:val="0"/>
                <w:sz w:val="24"/>
                <w:szCs w:val="24"/>
                <w:lang w:bidi="ar"/>
              </w:rPr>
              <w:t>31.4</w:t>
            </w:r>
          </w:p>
        </w:tc>
        <w:tc>
          <w:tcPr>
            <w:tcW w:w="1106" w:type="dxa"/>
            <w:tcBorders>
              <w:tl2br w:val="nil"/>
              <w:tr2bl w:val="nil"/>
            </w:tcBorders>
            <w:vAlign w:val="center"/>
          </w:tcPr>
          <w:p w:rsidR="00052CF6" w:rsidRDefault="0040770F">
            <w:pPr>
              <w:widowControl/>
              <w:jc w:val="center"/>
              <w:rPr>
                <w:rFonts w:ascii="宋体" w:eastAsia="宋体" w:hAnsi="宋体" w:cs="宋体"/>
                <w:sz w:val="24"/>
                <w:szCs w:val="24"/>
              </w:rPr>
            </w:pPr>
            <w:r>
              <w:rPr>
                <w:rFonts w:ascii="宋体" w:eastAsia="宋体" w:hAnsi="宋体" w:cs="宋体" w:hint="eastAsia"/>
                <w:color w:val="000000"/>
                <w:kern w:val="0"/>
                <w:sz w:val="24"/>
                <w:szCs w:val="24"/>
                <w:lang w:bidi="ar"/>
              </w:rPr>
              <w:t>30.5</w:t>
            </w:r>
          </w:p>
        </w:tc>
      </w:tr>
      <w:tr w:rsidR="00052CF6">
        <w:trPr>
          <w:cantSplit/>
          <w:trHeight w:val="325"/>
        </w:trPr>
        <w:tc>
          <w:tcPr>
            <w:tcW w:w="1105" w:type="dxa"/>
            <w:tcBorders>
              <w:tl2br w:val="nil"/>
              <w:tr2bl w:val="nil"/>
            </w:tcBorders>
            <w:vAlign w:val="center"/>
          </w:tcPr>
          <w:p w:rsidR="00052CF6" w:rsidRDefault="0040770F">
            <w:pPr>
              <w:tabs>
                <w:tab w:val="left" w:pos="3420"/>
              </w:tabs>
              <w:adjustRightInd w:val="0"/>
              <w:snapToGrid w:val="0"/>
              <w:ind w:rightChars="-27" w:right="-57"/>
              <w:jc w:val="center"/>
              <w:rPr>
                <w:rFonts w:ascii="宋体" w:eastAsia="宋体" w:hAnsi="宋体" w:cs="宋体"/>
                <w:sz w:val="24"/>
                <w:szCs w:val="24"/>
              </w:rPr>
            </w:pPr>
            <w:r>
              <w:rPr>
                <w:rFonts w:ascii="宋体" w:eastAsia="宋体" w:hAnsi="宋体" w:cs="宋体" w:hint="eastAsia"/>
                <w:sz w:val="24"/>
                <w:szCs w:val="24"/>
              </w:rPr>
              <w:t>RSD（%）</w:t>
            </w:r>
          </w:p>
        </w:tc>
        <w:tc>
          <w:tcPr>
            <w:tcW w:w="1106" w:type="dxa"/>
            <w:tcBorders>
              <w:tl2br w:val="nil"/>
              <w:tr2bl w:val="nil"/>
            </w:tcBorders>
            <w:vAlign w:val="center"/>
          </w:tcPr>
          <w:p w:rsidR="00052CF6" w:rsidRDefault="0040770F">
            <w:pPr>
              <w:adjustRightInd w:val="0"/>
              <w:snapToGrid w:val="0"/>
              <w:jc w:val="center"/>
              <w:rPr>
                <w:rFonts w:ascii="宋体" w:eastAsia="宋体" w:hAnsi="宋体" w:cs="宋体"/>
                <w:sz w:val="24"/>
                <w:szCs w:val="24"/>
              </w:rPr>
            </w:pPr>
            <w:r>
              <w:rPr>
                <w:rFonts w:ascii="宋体" w:eastAsia="宋体" w:hAnsi="宋体" w:cs="宋体" w:hint="eastAsia"/>
                <w:sz w:val="24"/>
                <w:szCs w:val="24"/>
              </w:rPr>
              <w:t>1.83</w:t>
            </w:r>
          </w:p>
        </w:tc>
        <w:tc>
          <w:tcPr>
            <w:tcW w:w="1106" w:type="dxa"/>
            <w:tcBorders>
              <w:tl2br w:val="nil"/>
              <w:tr2bl w:val="nil"/>
            </w:tcBorders>
            <w:vAlign w:val="center"/>
          </w:tcPr>
          <w:p w:rsidR="00052CF6" w:rsidRDefault="00052CF6">
            <w:pPr>
              <w:adjustRightInd w:val="0"/>
              <w:snapToGrid w:val="0"/>
              <w:jc w:val="center"/>
              <w:rPr>
                <w:rFonts w:ascii="宋体" w:eastAsia="宋体" w:hAnsi="宋体" w:cs="宋体"/>
                <w:sz w:val="24"/>
                <w:szCs w:val="24"/>
              </w:rPr>
            </w:pPr>
          </w:p>
        </w:tc>
        <w:tc>
          <w:tcPr>
            <w:tcW w:w="1105" w:type="dxa"/>
            <w:tcBorders>
              <w:tl2br w:val="nil"/>
              <w:tr2bl w:val="nil"/>
            </w:tcBorders>
            <w:vAlign w:val="center"/>
          </w:tcPr>
          <w:p w:rsidR="00052CF6" w:rsidRDefault="00052CF6">
            <w:pPr>
              <w:tabs>
                <w:tab w:val="left" w:pos="3420"/>
              </w:tabs>
              <w:adjustRightInd w:val="0"/>
              <w:snapToGrid w:val="0"/>
              <w:ind w:rightChars="-27" w:right="-57"/>
              <w:jc w:val="center"/>
              <w:rPr>
                <w:rFonts w:ascii="宋体" w:eastAsia="宋体" w:hAnsi="宋体" w:cs="宋体"/>
                <w:sz w:val="24"/>
                <w:szCs w:val="24"/>
              </w:rPr>
            </w:pPr>
          </w:p>
        </w:tc>
        <w:tc>
          <w:tcPr>
            <w:tcW w:w="1106" w:type="dxa"/>
            <w:tcBorders>
              <w:tl2br w:val="nil"/>
              <w:tr2bl w:val="nil"/>
            </w:tcBorders>
            <w:vAlign w:val="center"/>
          </w:tcPr>
          <w:p w:rsidR="00052CF6" w:rsidRDefault="00052CF6">
            <w:pPr>
              <w:adjustRightInd w:val="0"/>
              <w:snapToGrid w:val="0"/>
              <w:jc w:val="center"/>
              <w:rPr>
                <w:rFonts w:ascii="宋体" w:eastAsia="宋体" w:hAnsi="宋体" w:cs="宋体"/>
                <w:sz w:val="24"/>
                <w:szCs w:val="24"/>
              </w:rPr>
            </w:pPr>
          </w:p>
        </w:tc>
        <w:tc>
          <w:tcPr>
            <w:tcW w:w="1106" w:type="dxa"/>
            <w:tcBorders>
              <w:tl2br w:val="nil"/>
              <w:tr2bl w:val="nil"/>
            </w:tcBorders>
            <w:vAlign w:val="center"/>
          </w:tcPr>
          <w:p w:rsidR="00052CF6" w:rsidRDefault="00052CF6">
            <w:pPr>
              <w:adjustRightInd w:val="0"/>
              <w:snapToGrid w:val="0"/>
              <w:jc w:val="center"/>
              <w:rPr>
                <w:rFonts w:ascii="宋体" w:eastAsia="宋体" w:hAnsi="宋体" w:cs="宋体"/>
                <w:sz w:val="24"/>
                <w:szCs w:val="24"/>
              </w:rPr>
            </w:pPr>
          </w:p>
        </w:tc>
        <w:tc>
          <w:tcPr>
            <w:tcW w:w="1106" w:type="dxa"/>
            <w:tcBorders>
              <w:tl2br w:val="nil"/>
              <w:tr2bl w:val="nil"/>
            </w:tcBorders>
            <w:vAlign w:val="center"/>
          </w:tcPr>
          <w:p w:rsidR="00052CF6" w:rsidRDefault="00052CF6">
            <w:pPr>
              <w:adjustRightInd w:val="0"/>
              <w:snapToGrid w:val="0"/>
              <w:jc w:val="center"/>
              <w:rPr>
                <w:rFonts w:ascii="宋体" w:eastAsia="宋体" w:hAnsi="宋体" w:cs="宋体"/>
                <w:sz w:val="24"/>
                <w:szCs w:val="24"/>
              </w:rPr>
            </w:pPr>
          </w:p>
        </w:tc>
      </w:tr>
    </w:tbl>
    <w:p w:rsidR="00052CF6" w:rsidRDefault="0040770F">
      <w:pPr>
        <w:widowControl/>
        <w:spacing w:beforeLines="50" w:before="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6.6</w:t>
      </w:r>
      <w:r>
        <w:rPr>
          <w:rFonts w:ascii="宋体" w:eastAsia="宋体" w:hAnsi="宋体" w:cs="宋体" w:hint="eastAsia"/>
          <w:color w:val="000000"/>
          <w:kern w:val="0"/>
          <w:sz w:val="24"/>
          <w:szCs w:val="24"/>
          <w:lang w:bidi="ar"/>
        </w:rPr>
        <w:t>重复性试验</w:t>
      </w:r>
    </w:p>
    <w:p w:rsidR="00052CF6" w:rsidRDefault="0040770F">
      <w:pPr>
        <w:widowControl/>
        <w:spacing w:afterLines="50" w:after="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称取0.4、0.8、1.2克样品各3份，用无水甲醇定容至25ml，混匀。结果见下表。</w:t>
      </w:r>
    </w:p>
    <w:tbl>
      <w:tblPr>
        <w:tblStyle w:val="a6"/>
        <w:tblW w:w="0" w:type="auto"/>
        <w:jc w:val="center"/>
        <w:tblLayout w:type="fixed"/>
        <w:tblLook w:val="04A0" w:firstRow="1" w:lastRow="0" w:firstColumn="1" w:lastColumn="0" w:noHBand="0" w:noVBand="1"/>
      </w:tblPr>
      <w:tblGrid>
        <w:gridCol w:w="961"/>
        <w:gridCol w:w="2085"/>
        <w:gridCol w:w="1755"/>
        <w:gridCol w:w="1705"/>
      </w:tblGrid>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编号</w:t>
            </w:r>
          </w:p>
        </w:tc>
        <w:tc>
          <w:tcPr>
            <w:tcW w:w="2085"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称样量</w:t>
            </w:r>
          </w:p>
        </w:tc>
        <w:tc>
          <w:tcPr>
            <w:tcW w:w="1755"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峰面积</w:t>
            </w:r>
          </w:p>
        </w:tc>
        <w:tc>
          <w:tcPr>
            <w:tcW w:w="1705"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含量ug/g</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1</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0.3978</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7.3</w:t>
            </w:r>
          </w:p>
        </w:tc>
        <w:tc>
          <w:tcPr>
            <w:tcW w:w="170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168.8</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2</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0.4145</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8.4</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173.4</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3</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0.3991</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7.8</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173.32</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4</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0.8113</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21.9</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160.17</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5</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0.7915</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23.3</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171.96</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6</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0.8126</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23.8</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169.99</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7</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1.2104</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40.1</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172.25</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lastRenderedPageBreak/>
              <w:t>8</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1.2164</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41.3</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175.66</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9</w:t>
            </w:r>
          </w:p>
        </w:tc>
        <w:tc>
          <w:tcPr>
            <w:tcW w:w="208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1.2003</w:t>
            </w:r>
          </w:p>
        </w:tc>
        <w:tc>
          <w:tcPr>
            <w:tcW w:w="1755" w:type="dxa"/>
            <w:vAlign w:val="bottom"/>
          </w:tcPr>
          <w:p w:rsidR="00052CF6" w:rsidRDefault="0040770F">
            <w:pPr>
              <w:widowControl/>
              <w:jc w:val="center"/>
              <w:textAlignment w:val="bottom"/>
              <w:rPr>
                <w:rFonts w:ascii="宋体" w:eastAsia="宋体" w:hAnsi="宋体" w:cs="宋体"/>
                <w:sz w:val="24"/>
                <w:szCs w:val="24"/>
              </w:rPr>
            </w:pPr>
            <w:r>
              <w:rPr>
                <w:rFonts w:ascii="宋体" w:eastAsia="宋体" w:hAnsi="宋体" w:cs="宋体" w:hint="eastAsia"/>
                <w:color w:val="000000"/>
                <w:kern w:val="0"/>
                <w:sz w:val="24"/>
                <w:szCs w:val="24"/>
                <w:lang w:bidi="ar"/>
              </w:rPr>
              <w:t>40.8</w:t>
            </w:r>
          </w:p>
        </w:tc>
        <w:tc>
          <w:tcPr>
            <w:tcW w:w="1705" w:type="dxa"/>
          </w:tcPr>
          <w:p w:rsidR="00052CF6" w:rsidRDefault="0040770F">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176.09</w:t>
            </w:r>
          </w:p>
        </w:tc>
      </w:tr>
      <w:tr w:rsidR="00052CF6">
        <w:trPr>
          <w:jc w:val="center"/>
        </w:trPr>
        <w:tc>
          <w:tcPr>
            <w:tcW w:w="961" w:type="dxa"/>
          </w:tcPr>
          <w:p w:rsidR="00052CF6" w:rsidRDefault="0040770F">
            <w:pPr>
              <w:jc w:val="center"/>
              <w:rPr>
                <w:rFonts w:ascii="宋体" w:eastAsia="宋体" w:hAnsi="宋体" w:cs="宋体"/>
                <w:sz w:val="24"/>
                <w:szCs w:val="24"/>
              </w:rPr>
            </w:pPr>
            <w:r>
              <w:rPr>
                <w:rFonts w:ascii="宋体" w:eastAsia="宋体" w:hAnsi="宋体" w:cs="宋体" w:hint="eastAsia"/>
                <w:sz w:val="24"/>
                <w:szCs w:val="24"/>
              </w:rPr>
              <w:t>RSD%</w:t>
            </w:r>
          </w:p>
        </w:tc>
        <w:tc>
          <w:tcPr>
            <w:tcW w:w="2085" w:type="dxa"/>
          </w:tcPr>
          <w:p w:rsidR="00052CF6" w:rsidRDefault="0040770F">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2.8%</w:t>
            </w:r>
          </w:p>
        </w:tc>
        <w:tc>
          <w:tcPr>
            <w:tcW w:w="1755" w:type="dxa"/>
            <w:vAlign w:val="bottom"/>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平均含量</w:t>
            </w:r>
          </w:p>
        </w:tc>
        <w:tc>
          <w:tcPr>
            <w:tcW w:w="1705" w:type="dxa"/>
          </w:tcPr>
          <w:p w:rsidR="00052CF6" w:rsidRDefault="0040770F">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171.29</w:t>
            </w:r>
          </w:p>
        </w:tc>
      </w:tr>
    </w:tbl>
    <w:p w:rsidR="00052CF6" w:rsidRDefault="0040770F">
      <w:pPr>
        <w:widowControl/>
        <w:spacing w:beforeLines="50" w:before="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6.7</w:t>
      </w:r>
      <w:r>
        <w:rPr>
          <w:rFonts w:ascii="宋体" w:eastAsia="宋体" w:hAnsi="宋体" w:cs="宋体" w:hint="eastAsia"/>
          <w:color w:val="000000"/>
          <w:kern w:val="0"/>
          <w:sz w:val="24"/>
          <w:szCs w:val="24"/>
          <w:lang w:bidi="ar"/>
        </w:rPr>
        <w:t>加样回收率试验</w:t>
      </w:r>
    </w:p>
    <w:p w:rsidR="00052CF6" w:rsidRDefault="0040770F">
      <w:pPr>
        <w:tabs>
          <w:tab w:val="left" w:pos="8820"/>
        </w:tabs>
        <w:adjustRightInd w:val="0"/>
        <w:snapToGrid w:val="0"/>
        <w:spacing w:afterLines="50" w:after="156"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取</w:t>
      </w:r>
      <w:r>
        <w:rPr>
          <w:rFonts w:ascii="宋体" w:eastAsia="宋体" w:hAnsi="宋体" w:cs="宋体" w:hint="eastAsia"/>
          <w:color w:val="000000"/>
          <w:kern w:val="0"/>
          <w:sz w:val="24"/>
          <w:szCs w:val="24"/>
        </w:rPr>
        <w:t>2.4.</w:t>
      </w:r>
      <w:r>
        <w:rPr>
          <w:rFonts w:ascii="宋体" w:eastAsia="宋体" w:hAnsi="宋体" w:cs="宋体" w:hint="eastAsia"/>
          <w:kern w:val="0"/>
          <w:sz w:val="24"/>
          <w:szCs w:val="24"/>
        </w:rPr>
        <w:t>6.6</w:t>
      </w:r>
      <w:r>
        <w:rPr>
          <w:rFonts w:ascii="宋体" w:eastAsia="宋体" w:hAnsi="宋体" w:cs="宋体" w:hint="eastAsia"/>
          <w:color w:val="000000"/>
          <w:kern w:val="0"/>
          <w:sz w:val="24"/>
          <w:szCs w:val="24"/>
          <w:lang w:bidi="ar"/>
        </w:rPr>
        <w:t>试验的迷迭香油</w:t>
      </w:r>
      <w:r>
        <w:rPr>
          <w:rFonts w:ascii="宋体" w:eastAsia="宋体" w:hAnsi="宋体" w:cs="宋体" w:hint="eastAsia"/>
          <w:sz w:val="24"/>
          <w:szCs w:val="24"/>
        </w:rPr>
        <w:t>6份,每份约0.5g（含量为171.29ug/g），精密称定，每2份分别加入浓度为39.28ug/ml的马鞭草烯酮对照品溶液1.0、2.0、3.0ml，再加甲醇至25ml，其余按重复性试验项下药材供试品溶液制备方法进行操作，即得供试品溶液。分别精密吸取重复性项下的对照品溶液与供试品溶液注入气相色谱仪，依加样回收率公式计算，结果见下表。</w:t>
      </w:r>
    </w:p>
    <w:tbl>
      <w:tblPr>
        <w:tblW w:w="8400" w:type="dxa"/>
        <w:tblInd w:w="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520"/>
        <w:gridCol w:w="1040"/>
        <w:gridCol w:w="1410"/>
        <w:gridCol w:w="1730"/>
        <w:gridCol w:w="1040"/>
        <w:gridCol w:w="1660"/>
      </w:tblGrid>
      <w:tr w:rsidR="00052CF6">
        <w:trPr>
          <w:trHeight w:val="615"/>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Style w:val="font01"/>
                <w:rFonts w:hint="default"/>
                <w:lang w:bidi="ar"/>
              </w:rPr>
              <w:t>次数</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Style w:val="font01"/>
                <w:rFonts w:hint="default"/>
                <w:lang w:bidi="ar"/>
              </w:rPr>
              <w:t>测得量(mg)</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迷迭香油称样量（g）</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迷迭香油中的量（ug）</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加入量(ug)</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Style w:val="font01"/>
                <w:rFonts w:hint="default"/>
                <w:lang w:bidi="ar"/>
              </w:rPr>
              <w:t>回收率(%)</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123.6</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0.5034</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86.23 </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39.28</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95.144 </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126.58</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0.5123</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87.75 </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39.28</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98.850 </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160.2</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0.497</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85.13 </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78.56</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95.556 </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162.72</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0.5125</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87.79 </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78.56</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95.384 </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206.6</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0.5208</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89.21 </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117.84</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99.620 </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206.45</w:t>
            </w:r>
          </w:p>
        </w:tc>
        <w:tc>
          <w:tcPr>
            <w:tcW w:w="141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0.5317</w:t>
            </w:r>
          </w:p>
        </w:tc>
        <w:tc>
          <w:tcPr>
            <w:tcW w:w="173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91.07 </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117.84</w:t>
            </w:r>
          </w:p>
        </w:tc>
        <w:tc>
          <w:tcPr>
            <w:tcW w:w="166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97.908 </w:t>
            </w:r>
          </w:p>
        </w:tc>
      </w:tr>
      <w:tr w:rsidR="00052CF6">
        <w:trPr>
          <w:trHeight w:val="300"/>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Style w:val="font01"/>
                <w:rFonts w:hint="default"/>
                <w:lang w:bidi="ar"/>
              </w:rPr>
              <w:t>平均值（%）</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97.1</w:t>
            </w:r>
          </w:p>
        </w:tc>
        <w:tc>
          <w:tcPr>
            <w:tcW w:w="1410" w:type="dxa"/>
            <w:tcBorders>
              <w:tl2br w:val="nil"/>
              <w:tr2bl w:val="nil"/>
            </w:tcBorders>
            <w:vAlign w:val="bottom"/>
          </w:tcPr>
          <w:p w:rsidR="00052CF6" w:rsidRDefault="00052CF6">
            <w:pPr>
              <w:jc w:val="center"/>
              <w:rPr>
                <w:rFonts w:ascii="宋体" w:eastAsia="宋体" w:hAnsi="宋体" w:cs="宋体"/>
                <w:color w:val="000000"/>
                <w:sz w:val="24"/>
                <w:szCs w:val="24"/>
              </w:rPr>
            </w:pPr>
          </w:p>
        </w:tc>
        <w:tc>
          <w:tcPr>
            <w:tcW w:w="1730" w:type="dxa"/>
            <w:tcBorders>
              <w:tl2br w:val="nil"/>
              <w:tr2bl w:val="nil"/>
            </w:tcBorders>
            <w:vAlign w:val="bottom"/>
          </w:tcPr>
          <w:p w:rsidR="00052CF6" w:rsidRDefault="00052CF6">
            <w:pPr>
              <w:jc w:val="center"/>
              <w:rPr>
                <w:rFonts w:ascii="宋体" w:eastAsia="宋体" w:hAnsi="宋体" w:cs="宋体"/>
                <w:color w:val="000000"/>
                <w:sz w:val="24"/>
                <w:szCs w:val="24"/>
              </w:rPr>
            </w:pPr>
          </w:p>
        </w:tc>
        <w:tc>
          <w:tcPr>
            <w:tcW w:w="1040" w:type="dxa"/>
            <w:tcBorders>
              <w:tl2br w:val="nil"/>
              <w:tr2bl w:val="nil"/>
            </w:tcBorders>
            <w:vAlign w:val="bottom"/>
          </w:tcPr>
          <w:p w:rsidR="00052CF6" w:rsidRDefault="00052CF6">
            <w:pPr>
              <w:jc w:val="center"/>
              <w:rPr>
                <w:rFonts w:ascii="宋体" w:eastAsia="宋体" w:hAnsi="宋体" w:cs="宋体"/>
                <w:color w:val="000000"/>
                <w:sz w:val="24"/>
                <w:szCs w:val="24"/>
              </w:rPr>
            </w:pPr>
          </w:p>
        </w:tc>
        <w:tc>
          <w:tcPr>
            <w:tcW w:w="1660" w:type="dxa"/>
            <w:tcBorders>
              <w:tl2br w:val="nil"/>
              <w:tr2bl w:val="nil"/>
            </w:tcBorders>
            <w:vAlign w:val="bottom"/>
          </w:tcPr>
          <w:p w:rsidR="00052CF6" w:rsidRDefault="00052CF6">
            <w:pPr>
              <w:jc w:val="center"/>
              <w:rPr>
                <w:rFonts w:ascii="宋体" w:eastAsia="宋体" w:hAnsi="宋体" w:cs="宋体"/>
                <w:color w:val="000000"/>
                <w:sz w:val="24"/>
                <w:szCs w:val="24"/>
              </w:rPr>
            </w:pPr>
          </w:p>
        </w:tc>
      </w:tr>
      <w:tr w:rsidR="00052CF6">
        <w:trPr>
          <w:trHeight w:val="315"/>
        </w:trPr>
        <w:tc>
          <w:tcPr>
            <w:tcW w:w="152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Style w:val="font01"/>
                <w:rFonts w:hint="default"/>
                <w:lang w:bidi="ar"/>
              </w:rPr>
              <w:t>RSD(%)</w:t>
            </w:r>
          </w:p>
        </w:tc>
        <w:tc>
          <w:tcPr>
            <w:tcW w:w="1040" w:type="dxa"/>
            <w:tcBorders>
              <w:tl2br w:val="nil"/>
              <w:tr2bl w:val="nil"/>
            </w:tcBorders>
            <w:vAlign w:val="bottom"/>
          </w:tcPr>
          <w:p w:rsidR="00052CF6" w:rsidRDefault="0040770F">
            <w:pPr>
              <w:widowControl/>
              <w:jc w:val="center"/>
              <w:textAlignment w:val="bottom"/>
              <w:rPr>
                <w:rFonts w:ascii="宋体" w:eastAsia="宋体" w:hAnsi="宋体" w:cs="宋体"/>
                <w:color w:val="000000"/>
                <w:sz w:val="24"/>
                <w:szCs w:val="24"/>
              </w:rPr>
            </w:pPr>
            <w:r>
              <w:rPr>
                <w:rFonts w:ascii="宋体" w:eastAsia="宋体" w:hAnsi="宋体" w:cs="宋体" w:hint="eastAsia"/>
                <w:color w:val="000000"/>
                <w:kern w:val="0"/>
                <w:sz w:val="24"/>
                <w:szCs w:val="24"/>
                <w:lang w:bidi="ar"/>
              </w:rPr>
              <w:t>1.96</w:t>
            </w:r>
          </w:p>
        </w:tc>
        <w:tc>
          <w:tcPr>
            <w:tcW w:w="1410" w:type="dxa"/>
            <w:tcBorders>
              <w:tl2br w:val="nil"/>
              <w:tr2bl w:val="nil"/>
            </w:tcBorders>
            <w:vAlign w:val="bottom"/>
          </w:tcPr>
          <w:p w:rsidR="00052CF6" w:rsidRDefault="00052CF6">
            <w:pPr>
              <w:jc w:val="center"/>
              <w:rPr>
                <w:rFonts w:ascii="宋体" w:eastAsia="宋体" w:hAnsi="宋体" w:cs="宋体"/>
                <w:color w:val="000000"/>
                <w:sz w:val="24"/>
                <w:szCs w:val="24"/>
              </w:rPr>
            </w:pPr>
          </w:p>
        </w:tc>
        <w:tc>
          <w:tcPr>
            <w:tcW w:w="1730" w:type="dxa"/>
            <w:tcBorders>
              <w:tl2br w:val="nil"/>
              <w:tr2bl w:val="nil"/>
            </w:tcBorders>
            <w:vAlign w:val="bottom"/>
          </w:tcPr>
          <w:p w:rsidR="00052CF6" w:rsidRDefault="00052CF6">
            <w:pPr>
              <w:jc w:val="center"/>
              <w:rPr>
                <w:rFonts w:ascii="宋体" w:eastAsia="宋体" w:hAnsi="宋体" w:cs="宋体"/>
                <w:color w:val="000000"/>
                <w:sz w:val="24"/>
                <w:szCs w:val="24"/>
              </w:rPr>
            </w:pPr>
          </w:p>
        </w:tc>
        <w:tc>
          <w:tcPr>
            <w:tcW w:w="1040" w:type="dxa"/>
            <w:tcBorders>
              <w:tl2br w:val="nil"/>
              <w:tr2bl w:val="nil"/>
            </w:tcBorders>
            <w:vAlign w:val="bottom"/>
          </w:tcPr>
          <w:p w:rsidR="00052CF6" w:rsidRDefault="00052CF6">
            <w:pPr>
              <w:jc w:val="center"/>
              <w:rPr>
                <w:rFonts w:ascii="宋体" w:eastAsia="宋体" w:hAnsi="宋体" w:cs="宋体"/>
                <w:color w:val="000000"/>
                <w:sz w:val="24"/>
                <w:szCs w:val="24"/>
              </w:rPr>
            </w:pPr>
          </w:p>
        </w:tc>
        <w:tc>
          <w:tcPr>
            <w:tcW w:w="0" w:type="auto"/>
            <w:tcBorders>
              <w:tl2br w:val="nil"/>
              <w:tr2bl w:val="nil"/>
            </w:tcBorders>
            <w:noWrap/>
            <w:vAlign w:val="bottom"/>
          </w:tcPr>
          <w:p w:rsidR="00052CF6" w:rsidRDefault="00052CF6">
            <w:pPr>
              <w:rPr>
                <w:rFonts w:ascii="宋体" w:eastAsia="宋体" w:hAnsi="宋体" w:cs="宋体"/>
                <w:color w:val="000000"/>
                <w:sz w:val="24"/>
                <w:szCs w:val="24"/>
              </w:rPr>
            </w:pPr>
          </w:p>
        </w:tc>
      </w:tr>
    </w:tbl>
    <w:p w:rsidR="00052CF6" w:rsidRDefault="0040770F">
      <w:pPr>
        <w:widowControl/>
        <w:spacing w:beforeLines="50" w:before="156" w:afterLines="50" w:after="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6.8</w:t>
      </w:r>
      <w:r>
        <w:rPr>
          <w:rFonts w:ascii="宋体" w:eastAsia="宋体" w:hAnsi="宋体" w:cs="宋体" w:hint="eastAsia"/>
          <w:color w:val="000000"/>
          <w:kern w:val="0"/>
          <w:sz w:val="24"/>
          <w:szCs w:val="24"/>
          <w:lang w:bidi="ar"/>
        </w:rPr>
        <w:t>多批次样品含量测定</w:t>
      </w:r>
    </w:p>
    <w:tbl>
      <w:tblPr>
        <w:tblStyle w:val="a6"/>
        <w:tblW w:w="0" w:type="auto"/>
        <w:jc w:val="center"/>
        <w:tblLook w:val="04A0" w:firstRow="1" w:lastRow="0" w:firstColumn="1" w:lastColumn="0" w:noHBand="0" w:noVBand="1"/>
      </w:tblPr>
      <w:tblGrid>
        <w:gridCol w:w="2437"/>
        <w:gridCol w:w="2662"/>
      </w:tblGrid>
      <w:tr w:rsidR="00052CF6">
        <w:trPr>
          <w:jc w:val="center"/>
        </w:trPr>
        <w:tc>
          <w:tcPr>
            <w:tcW w:w="2437" w:type="dxa"/>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迷迭香油生产编号</w:t>
            </w:r>
          </w:p>
        </w:tc>
        <w:tc>
          <w:tcPr>
            <w:tcW w:w="2662" w:type="dxa"/>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马鞭草烯酮含量（ug/g）</w:t>
            </w:r>
          </w:p>
        </w:tc>
      </w:tr>
      <w:tr w:rsidR="00052CF6">
        <w:trPr>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230809</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171.29</w:t>
            </w:r>
          </w:p>
        </w:tc>
      </w:tr>
      <w:tr w:rsidR="00052CF6">
        <w:trPr>
          <w:trHeight w:val="247"/>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230826</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154.30</w:t>
            </w:r>
          </w:p>
        </w:tc>
      </w:tr>
      <w:tr w:rsidR="00052CF6">
        <w:trPr>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230912</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137.51</w:t>
            </w:r>
          </w:p>
        </w:tc>
      </w:tr>
      <w:tr w:rsidR="00052CF6">
        <w:trPr>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231034</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269.30</w:t>
            </w:r>
          </w:p>
        </w:tc>
      </w:tr>
      <w:tr w:rsidR="00052CF6">
        <w:trPr>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231201</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203.17</w:t>
            </w:r>
          </w:p>
        </w:tc>
      </w:tr>
      <w:tr w:rsidR="00052CF6">
        <w:trPr>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231207</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156.90</w:t>
            </w:r>
          </w:p>
        </w:tc>
      </w:tr>
      <w:tr w:rsidR="00052CF6">
        <w:trPr>
          <w:jc w:val="center"/>
        </w:trPr>
        <w:tc>
          <w:tcPr>
            <w:tcW w:w="2437"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231216</w:t>
            </w:r>
          </w:p>
        </w:tc>
        <w:tc>
          <w:tcPr>
            <w:tcW w:w="2662" w:type="dxa"/>
            <w:vAlign w:val="center"/>
          </w:tcPr>
          <w:p w:rsidR="00052CF6" w:rsidRDefault="0040770F">
            <w:pPr>
              <w:widowControl/>
              <w:jc w:val="center"/>
              <w:textAlignment w:val="bottom"/>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178.40</w:t>
            </w:r>
          </w:p>
        </w:tc>
      </w:tr>
    </w:tbl>
    <w:p w:rsidR="00052CF6" w:rsidRDefault="0040770F">
      <w:pPr>
        <w:widowControl/>
        <w:spacing w:beforeLines="50" w:before="156" w:line="360" w:lineRule="auto"/>
        <w:ind w:firstLineChars="200" w:firstLine="48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根据</w:t>
      </w:r>
      <w:r>
        <w:rPr>
          <w:rFonts w:ascii="宋体" w:eastAsia="宋体" w:hAnsi="宋体" w:cs="宋体" w:hint="eastAsia"/>
          <w:kern w:val="0"/>
          <w:sz w:val="24"/>
          <w:szCs w:val="24"/>
        </w:rPr>
        <w:t>收集多批次样品的数据（见下表），将过氧化值上限定为500ug/g，即迷迭香油中马鞭草烯酮质量百分比不超过0.05%。</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7过氧化值</w:t>
      </w:r>
    </w:p>
    <w:p w:rsidR="00052CF6" w:rsidRDefault="0040770F">
      <w:pPr>
        <w:spacing w:afterLines="50" w:after="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本标准产品过氧化值根据GB 5009.227方法进行测定，收集多批次样品的数据（见下表），将过氧化值上限定为0.2g/100g。</w:t>
      </w:r>
    </w:p>
    <w:tbl>
      <w:tblPr>
        <w:tblStyle w:val="a6"/>
        <w:tblW w:w="0" w:type="auto"/>
        <w:jc w:val="center"/>
        <w:tblLook w:val="04A0" w:firstRow="1" w:lastRow="0" w:firstColumn="1" w:lastColumn="0" w:noHBand="0" w:noVBand="1"/>
      </w:tblPr>
      <w:tblGrid>
        <w:gridCol w:w="2437"/>
        <w:gridCol w:w="2662"/>
      </w:tblGrid>
      <w:tr w:rsidR="00052CF6">
        <w:trPr>
          <w:jc w:val="center"/>
        </w:trPr>
        <w:tc>
          <w:tcPr>
            <w:tcW w:w="2437" w:type="dxa"/>
          </w:tcPr>
          <w:p w:rsidR="00052CF6" w:rsidRDefault="0040770F">
            <w:pPr>
              <w:jc w:val="center"/>
              <w:rPr>
                <w:rFonts w:ascii="宋体" w:eastAsia="宋体" w:hAnsi="宋体" w:cs="宋体"/>
                <w:kern w:val="0"/>
                <w:sz w:val="24"/>
                <w:szCs w:val="24"/>
              </w:rPr>
            </w:pPr>
            <w:r>
              <w:rPr>
                <w:rFonts w:ascii="宋体" w:eastAsia="宋体" w:hAnsi="宋体" w:cs="宋体" w:hint="eastAsia"/>
                <w:kern w:val="0"/>
                <w:sz w:val="24"/>
                <w:szCs w:val="24"/>
              </w:rPr>
              <w:t>迷迭香油生产编号</w:t>
            </w:r>
          </w:p>
        </w:tc>
        <w:tc>
          <w:tcPr>
            <w:tcW w:w="2662" w:type="dxa"/>
          </w:tcPr>
          <w:p w:rsidR="00052CF6" w:rsidRDefault="0040770F">
            <w:pPr>
              <w:rPr>
                <w:rFonts w:ascii="宋体" w:eastAsia="宋体" w:hAnsi="宋体" w:cs="宋体"/>
                <w:kern w:val="0"/>
                <w:sz w:val="24"/>
                <w:szCs w:val="24"/>
              </w:rPr>
            </w:pPr>
            <w:r>
              <w:rPr>
                <w:rFonts w:ascii="宋体" w:eastAsia="宋体" w:hAnsi="宋体" w:cs="宋体" w:hint="eastAsia"/>
                <w:kern w:val="0"/>
                <w:sz w:val="24"/>
                <w:szCs w:val="24"/>
              </w:rPr>
              <w:t>过氧化值（%）（g/100g）</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lastRenderedPageBreak/>
              <w:t>230353-2</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0.032</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230353-3</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0.025</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230353-4</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0.033</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230353-5</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0.036</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230353-6</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0.029</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230353-7</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0.027</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230353-8</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0.035</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230353-9</w:t>
            </w:r>
          </w:p>
        </w:tc>
        <w:tc>
          <w:tcPr>
            <w:tcW w:w="2662"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kern w:val="0"/>
                <w:sz w:val="24"/>
                <w:szCs w:val="24"/>
                <w:lang w:bidi="ar"/>
              </w:rPr>
              <w:t>0.039</w:t>
            </w:r>
          </w:p>
        </w:tc>
      </w:tr>
    </w:tbl>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kern w:val="0"/>
          <w:sz w:val="24"/>
          <w:szCs w:val="24"/>
        </w:rPr>
        <w:t>8溶剂残留</w:t>
      </w:r>
    </w:p>
    <w:p w:rsidR="00052CF6" w:rsidRDefault="0040770F">
      <w:pPr>
        <w:spacing w:afterLines="50" w:after="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本标准产品过氧化值根据</w:t>
      </w:r>
      <w:r>
        <w:rPr>
          <w:rFonts w:ascii="宋体" w:eastAsia="宋体" w:hAnsi="宋体" w:cs="宋体" w:hint="eastAsia"/>
          <w:color w:val="333333"/>
          <w:sz w:val="24"/>
          <w:szCs w:val="24"/>
          <w:shd w:val="clear" w:color="auto" w:fill="FFFFFF"/>
        </w:rPr>
        <w:t>GB 5009.262-2016</w:t>
      </w:r>
      <w:r>
        <w:rPr>
          <w:rFonts w:ascii="宋体" w:eastAsia="宋体" w:hAnsi="宋体" w:cs="宋体" w:hint="eastAsia"/>
          <w:kern w:val="0"/>
          <w:sz w:val="24"/>
          <w:szCs w:val="24"/>
        </w:rPr>
        <w:t>方法进行测定，收集多批次样品的数据（见下表），将溶剂残留确定为不得检出（溶剂残留量检出值小于10mg/kg时，视为未检出）。</w:t>
      </w:r>
    </w:p>
    <w:tbl>
      <w:tblPr>
        <w:tblStyle w:val="a6"/>
        <w:tblW w:w="0" w:type="auto"/>
        <w:jc w:val="center"/>
        <w:tblLook w:val="04A0" w:firstRow="1" w:lastRow="0" w:firstColumn="1" w:lastColumn="0" w:noHBand="0" w:noVBand="1"/>
      </w:tblPr>
      <w:tblGrid>
        <w:gridCol w:w="2437"/>
        <w:gridCol w:w="2662"/>
      </w:tblGrid>
      <w:tr w:rsidR="00052CF6">
        <w:trPr>
          <w:jc w:val="center"/>
        </w:trPr>
        <w:tc>
          <w:tcPr>
            <w:tcW w:w="2437" w:type="dxa"/>
          </w:tcPr>
          <w:p w:rsidR="00052CF6" w:rsidRDefault="0040770F">
            <w:pPr>
              <w:jc w:val="center"/>
              <w:rPr>
                <w:rFonts w:ascii="宋体" w:eastAsia="宋体" w:hAnsi="宋体" w:cs="宋体"/>
                <w:kern w:val="0"/>
                <w:sz w:val="24"/>
                <w:szCs w:val="24"/>
              </w:rPr>
            </w:pPr>
            <w:r>
              <w:rPr>
                <w:rFonts w:ascii="宋体" w:eastAsia="宋体" w:hAnsi="宋体" w:cs="宋体" w:hint="eastAsia"/>
                <w:kern w:val="0"/>
                <w:sz w:val="24"/>
                <w:szCs w:val="24"/>
              </w:rPr>
              <w:t>迷迭香油生产编号</w:t>
            </w:r>
          </w:p>
        </w:tc>
        <w:tc>
          <w:tcPr>
            <w:tcW w:w="2662" w:type="dxa"/>
          </w:tcPr>
          <w:p w:rsidR="00052CF6" w:rsidRDefault="0040770F">
            <w:pPr>
              <w:rPr>
                <w:rFonts w:ascii="宋体" w:eastAsia="宋体" w:hAnsi="宋体" w:cs="宋体"/>
                <w:kern w:val="0"/>
                <w:sz w:val="24"/>
                <w:szCs w:val="24"/>
              </w:rPr>
            </w:pPr>
            <w:r>
              <w:rPr>
                <w:rFonts w:ascii="宋体" w:eastAsia="宋体" w:hAnsi="宋体" w:cs="宋体" w:hint="eastAsia"/>
                <w:kern w:val="0"/>
                <w:sz w:val="24"/>
                <w:szCs w:val="24"/>
              </w:rPr>
              <w:t>过氧化值（mg/kg）</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230809</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230826</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230912</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231034</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231201</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231207</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231216</w:t>
            </w:r>
          </w:p>
        </w:tc>
        <w:tc>
          <w:tcPr>
            <w:tcW w:w="2662"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未检出</w:t>
            </w:r>
          </w:p>
        </w:tc>
      </w:tr>
    </w:tbl>
    <w:p w:rsidR="00052CF6" w:rsidRDefault="0040770F">
      <w:pPr>
        <w:spacing w:beforeLines="50" w:before="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2.4.9苯并芘与四种多环芳烃（PAH4）总量</w:t>
      </w:r>
    </w:p>
    <w:p w:rsidR="00052CF6" w:rsidRDefault="0040770F">
      <w:pPr>
        <w:spacing w:afterLines="50" w:after="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多环芳烃（polycyclic aromatic hydrocarbons，PAHs）为具有亲脂性且易远距离迁移的持久性有机污染物，因其致癌、致畸和致突变作用，是环境和食品较为关注的污染物，世界各国也制订了严格的限量要求，如欧盟委员会以苯并芘和PAH4（苯并(a)芘、苯并(a)蒽、苯并(b)荧蒽、䓛）制订PAHs指标限量要求。本标准产品拟结合欧盟监测指标进行限定，多环芳烃含量根据</w:t>
      </w:r>
      <w:r>
        <w:rPr>
          <w:rFonts w:ascii="宋体" w:eastAsia="宋体" w:hAnsi="宋体" w:cs="宋体" w:hint="eastAsia"/>
          <w:color w:val="333333"/>
          <w:sz w:val="24"/>
          <w:szCs w:val="24"/>
          <w:shd w:val="clear" w:color="auto" w:fill="FFFFFF"/>
        </w:rPr>
        <w:t>GB 5009.265-2021</w:t>
      </w:r>
      <w:r>
        <w:rPr>
          <w:rFonts w:ascii="宋体" w:eastAsia="宋体" w:hAnsi="宋体" w:cs="宋体" w:hint="eastAsia"/>
          <w:kern w:val="0"/>
          <w:sz w:val="24"/>
          <w:szCs w:val="24"/>
        </w:rPr>
        <w:t>方法进行测定，收集多批次样品测定结果见下表，根据检测结果将苯并芘和四种多环芳烃限度确定为不高于10和50㎍/kg。</w:t>
      </w:r>
    </w:p>
    <w:tbl>
      <w:tblPr>
        <w:tblStyle w:val="a6"/>
        <w:tblW w:w="6113" w:type="dxa"/>
        <w:jc w:val="center"/>
        <w:tblLook w:val="04A0" w:firstRow="1" w:lastRow="0" w:firstColumn="1" w:lastColumn="0" w:noHBand="0" w:noVBand="1"/>
      </w:tblPr>
      <w:tblGrid>
        <w:gridCol w:w="2437"/>
        <w:gridCol w:w="1885"/>
        <w:gridCol w:w="1791"/>
      </w:tblGrid>
      <w:tr w:rsidR="00052CF6">
        <w:trPr>
          <w:jc w:val="center"/>
        </w:trPr>
        <w:tc>
          <w:tcPr>
            <w:tcW w:w="2437" w:type="dxa"/>
          </w:tcPr>
          <w:p w:rsidR="00052CF6" w:rsidRDefault="0040770F">
            <w:pPr>
              <w:jc w:val="center"/>
              <w:rPr>
                <w:rFonts w:ascii="宋体" w:eastAsia="宋体" w:hAnsi="宋体" w:cs="宋体"/>
                <w:kern w:val="0"/>
                <w:sz w:val="24"/>
                <w:szCs w:val="24"/>
              </w:rPr>
            </w:pPr>
            <w:r>
              <w:rPr>
                <w:rFonts w:ascii="宋体" w:eastAsia="宋体" w:hAnsi="宋体" w:cs="宋体" w:hint="eastAsia"/>
                <w:kern w:val="0"/>
                <w:sz w:val="24"/>
                <w:szCs w:val="24"/>
              </w:rPr>
              <w:t>迷迭香油生产编号</w:t>
            </w:r>
          </w:p>
        </w:tc>
        <w:tc>
          <w:tcPr>
            <w:tcW w:w="1885" w:type="dxa"/>
          </w:tcPr>
          <w:p w:rsidR="00052CF6" w:rsidRDefault="0040770F">
            <w:pPr>
              <w:rPr>
                <w:rFonts w:ascii="宋体" w:eastAsia="宋体" w:hAnsi="宋体" w:cs="宋体"/>
                <w:kern w:val="0"/>
                <w:sz w:val="24"/>
                <w:szCs w:val="24"/>
              </w:rPr>
            </w:pPr>
            <w:r>
              <w:rPr>
                <w:rFonts w:ascii="宋体" w:eastAsia="宋体" w:hAnsi="宋体" w:cs="宋体" w:hint="eastAsia"/>
                <w:kern w:val="0"/>
                <w:sz w:val="24"/>
                <w:szCs w:val="24"/>
              </w:rPr>
              <w:t>苯并芘（㎍/kg）</w:t>
            </w:r>
          </w:p>
        </w:tc>
        <w:tc>
          <w:tcPr>
            <w:tcW w:w="1791" w:type="dxa"/>
          </w:tcPr>
          <w:p w:rsidR="00052CF6" w:rsidRDefault="0040770F">
            <w:pPr>
              <w:rPr>
                <w:rFonts w:ascii="宋体" w:eastAsia="宋体" w:hAnsi="宋体" w:cs="宋体"/>
                <w:kern w:val="0"/>
                <w:sz w:val="24"/>
                <w:szCs w:val="24"/>
              </w:rPr>
            </w:pPr>
            <w:r>
              <w:rPr>
                <w:rFonts w:ascii="宋体" w:eastAsia="宋体" w:hAnsi="宋体" w:cs="宋体" w:hint="eastAsia"/>
                <w:kern w:val="0"/>
                <w:sz w:val="24"/>
                <w:szCs w:val="24"/>
              </w:rPr>
              <w:t>PAH4（㎍/kg）</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230809</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4.0</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230826</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3.5</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230912</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6.2</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231034</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2.8</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231201</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1.5</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231207</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1.8</w:t>
            </w:r>
          </w:p>
        </w:tc>
      </w:tr>
      <w:tr w:rsidR="00052CF6">
        <w:trPr>
          <w:jc w:val="center"/>
        </w:trPr>
        <w:tc>
          <w:tcPr>
            <w:tcW w:w="2437" w:type="dxa"/>
            <w:vAlign w:val="center"/>
          </w:tcPr>
          <w:p w:rsidR="00052CF6" w:rsidRDefault="0040770F">
            <w:pPr>
              <w:widowControl/>
              <w:jc w:val="center"/>
              <w:textAlignment w:val="center"/>
              <w:rPr>
                <w:rFonts w:ascii="宋体" w:eastAsia="宋体" w:hAnsi="宋体" w:cs="宋体"/>
                <w:kern w:val="0"/>
                <w:sz w:val="24"/>
                <w:szCs w:val="24"/>
              </w:rPr>
            </w:pPr>
            <w:r>
              <w:rPr>
                <w:rFonts w:ascii="宋体" w:eastAsia="宋体" w:hAnsi="宋体" w:cs="宋体" w:hint="eastAsia"/>
                <w:color w:val="000000"/>
                <w:kern w:val="0"/>
                <w:sz w:val="24"/>
                <w:szCs w:val="24"/>
                <w:lang w:bidi="ar"/>
              </w:rPr>
              <w:t>231216</w:t>
            </w:r>
          </w:p>
        </w:tc>
        <w:tc>
          <w:tcPr>
            <w:tcW w:w="1885" w:type="dxa"/>
            <w:vAlign w:val="center"/>
          </w:tcPr>
          <w:p w:rsidR="00052CF6" w:rsidRDefault="0040770F">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＜0.5</w:t>
            </w:r>
          </w:p>
        </w:tc>
        <w:tc>
          <w:tcPr>
            <w:tcW w:w="1791" w:type="dxa"/>
            <w:vAlign w:val="center"/>
          </w:tcPr>
          <w:p w:rsidR="00052CF6" w:rsidRDefault="0040770F">
            <w:pPr>
              <w:widowControl/>
              <w:jc w:val="center"/>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lang w:bidi="ar"/>
              </w:rPr>
              <w:t>3.1</w:t>
            </w:r>
          </w:p>
        </w:tc>
      </w:tr>
    </w:tbl>
    <w:p w:rsidR="00052CF6" w:rsidRDefault="0040770F">
      <w:pPr>
        <w:spacing w:beforeLines="50" w:before="156"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2.4.10食品安全要求</w:t>
      </w:r>
    </w:p>
    <w:p w:rsidR="00052CF6" w:rsidRDefault="0040770F">
      <w:pPr>
        <w:spacing w:line="360" w:lineRule="auto"/>
        <w:ind w:firstLineChars="200" w:firstLine="480"/>
        <w:rPr>
          <w:rFonts w:ascii="宋体" w:eastAsia="宋体" w:hAnsi="宋体" w:cs="宋体"/>
          <w:kern w:val="0"/>
          <w:sz w:val="24"/>
          <w:szCs w:val="24"/>
        </w:rPr>
      </w:pPr>
      <w:r>
        <w:rPr>
          <w:rFonts w:ascii="宋体" w:eastAsia="宋体" w:hAnsi="宋体" w:cs="宋体" w:hint="eastAsia"/>
          <w:sz w:val="24"/>
          <w:szCs w:val="24"/>
        </w:rPr>
        <w:t>按GB2716-2018食品安全国家标准植物油、GB2760-2014食品添加剂使用卫生标准、GB2761-2017食品中真菌毒素限量标准、GB2762-2017食品中污染物限量标准、GB2763-2019食品中农药最大残留限量标准和其他国家有关标准、规定执行。</w:t>
      </w:r>
    </w:p>
    <w:p w:rsidR="00052CF6" w:rsidRDefault="0040770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2.5检验方法</w:t>
      </w:r>
    </w:p>
    <w:p w:rsidR="00052CF6" w:rsidRDefault="0040770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检验方法是保证国家标准正确实施的重要手段，也是为监督部门提供的有力工具。本标准对所有指标的检验方法都作了明确规定。检测方法采用国家标准规定的方法，无特殊要求。</w:t>
      </w:r>
    </w:p>
    <w:p w:rsidR="00052CF6" w:rsidRDefault="0040770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2.6检验规则</w:t>
      </w:r>
    </w:p>
    <w:p w:rsidR="00052CF6" w:rsidRDefault="0040770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检验规则包括抽样方法、判定规则、型式检验、出厂检验四项内容，对其都作了具体说明。本标准采用了国家行标中对食用油的质量检验相同的规则。</w:t>
      </w:r>
    </w:p>
    <w:p w:rsidR="00052CF6" w:rsidRDefault="0040770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2.7标签、标识、包装、储存和运输</w:t>
      </w:r>
    </w:p>
    <w:p w:rsidR="00052CF6" w:rsidRDefault="0040770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本标准对标签、标识、包装、储存与运输要求的制定为迷迭香油的生产、销售和市场流通，维护消费者的知情权和选择权，且与国家团体标准的要求一致。</w:t>
      </w:r>
    </w:p>
    <w:p w:rsidR="00052CF6" w:rsidRDefault="0040770F">
      <w:pPr>
        <w:adjustRightInd w:val="0"/>
        <w:snapToGrid w:val="0"/>
        <w:spacing w:beforeLines="100" w:before="312" w:line="360" w:lineRule="auto"/>
        <w:ind w:firstLineChars="200" w:firstLine="482"/>
        <w:jc w:val="left"/>
        <w:rPr>
          <w:rFonts w:ascii="宋体" w:eastAsia="宋体" w:hAnsi="宋体"/>
          <w:b/>
          <w:sz w:val="24"/>
          <w:szCs w:val="24"/>
        </w:rPr>
      </w:pPr>
      <w:r>
        <w:rPr>
          <w:rFonts w:ascii="宋体" w:eastAsia="宋体" w:hAnsi="宋体" w:hint="eastAsia"/>
          <w:b/>
          <w:sz w:val="24"/>
          <w:szCs w:val="24"/>
        </w:rPr>
        <w:t>3．</w:t>
      </w:r>
      <w:r>
        <w:rPr>
          <w:rFonts w:ascii="宋体" w:eastAsia="宋体" w:hAnsi="宋体"/>
          <w:b/>
          <w:sz w:val="24"/>
          <w:szCs w:val="24"/>
        </w:rPr>
        <w:t>主要试验（或验证）情况的分析、综述报告，技术经济论证，预期的经济效果</w:t>
      </w:r>
    </w:p>
    <w:p w:rsidR="00052CF6" w:rsidRDefault="0040770F">
      <w:pPr>
        <w:adjustRightInd w:val="0"/>
        <w:snapToGrid w:val="0"/>
        <w:spacing w:line="360" w:lineRule="auto"/>
        <w:ind w:firstLineChars="200" w:firstLine="482"/>
        <w:rPr>
          <w:rFonts w:ascii="宋体" w:eastAsia="宋体" w:hAnsi="宋体" w:cs="宋体"/>
          <w:b/>
          <w:bCs/>
          <w:kern w:val="0"/>
          <w:sz w:val="24"/>
        </w:rPr>
      </w:pPr>
      <w:r>
        <w:rPr>
          <w:rFonts w:ascii="宋体" w:eastAsia="宋体" w:hAnsi="宋体" w:cs="宋体" w:hint="eastAsia"/>
          <w:b/>
          <w:bCs/>
          <w:kern w:val="0"/>
          <w:sz w:val="24"/>
        </w:rPr>
        <w:t>3.1主要试验情况分析</w:t>
      </w:r>
    </w:p>
    <w:p w:rsidR="00052CF6" w:rsidRDefault="0040770F">
      <w:pPr>
        <w:adjustRightInd w:val="0"/>
        <w:snapToGrid w:val="0"/>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根据</w:t>
      </w:r>
      <w:r>
        <w:rPr>
          <w:rFonts w:ascii="宋体" w:eastAsia="宋体" w:hAnsi="宋体" w:cs="宋体" w:hint="eastAsia"/>
          <w:sz w:val="24"/>
        </w:rPr>
        <w:t>迷迭香</w:t>
      </w:r>
      <w:r>
        <w:rPr>
          <w:rFonts w:ascii="宋体" w:eastAsia="宋体" w:hAnsi="宋体" w:cs="宋体" w:hint="eastAsia"/>
          <w:kern w:val="0"/>
          <w:sz w:val="24"/>
        </w:rPr>
        <w:t>产品的特点并参照其他食用油标准，本标准主要技术要求包括质量指标与食品安全要求，其中质量指标分为气味、滋味，鼠尾草酸含量、鼠尾草酚含量、马鞭草烯酮含量，过氧化值，溶剂残留量等；对马鞭草烯酮的含量测定方法学进行了系统研究；食品安全要求参照有关国家标准要求。</w:t>
      </w:r>
    </w:p>
    <w:p w:rsidR="00052CF6" w:rsidRDefault="0040770F">
      <w:pPr>
        <w:adjustRightInd w:val="0"/>
        <w:snapToGrid w:val="0"/>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3.2</w:t>
      </w:r>
      <w:r>
        <w:rPr>
          <w:rFonts w:ascii="宋体" w:eastAsia="宋体" w:hAnsi="宋体"/>
          <w:b/>
          <w:sz w:val="24"/>
          <w:szCs w:val="24"/>
        </w:rPr>
        <w:t>技术经济论证，预期的经济效果</w:t>
      </w:r>
    </w:p>
    <w:p w:rsidR="00052CF6" w:rsidRDefault="0040770F">
      <w:pPr>
        <w:spacing w:line="360" w:lineRule="auto"/>
        <w:ind w:firstLineChars="196" w:firstLine="470"/>
        <w:rPr>
          <w:rFonts w:ascii="宋体" w:eastAsia="宋体" w:hAnsi="宋体" w:cs="宋体"/>
          <w:sz w:val="24"/>
        </w:rPr>
      </w:pPr>
      <w:r>
        <w:rPr>
          <w:rFonts w:ascii="宋体" w:eastAsia="宋体" w:hAnsi="宋体" w:cs="宋体" w:hint="eastAsia"/>
          <w:sz w:val="24"/>
        </w:rPr>
        <w:t>本标准具有科学性、先进性、针对性、适用性和可操作性，既体现了为消费者提供关于迷迭香油的正确客观信息，又体现了我国“迷迭香油”产品的质量和技术水平，可促进“迷迭香油”产品在国内的应用与公平贸易。目前市场迷迭香抗氧化剂产品因加工水平不同质量存在较大差异，尽管大多都符合</w:t>
      </w:r>
      <w:r>
        <w:rPr>
          <w:rFonts w:ascii="宋体" w:eastAsia="宋体" w:hAnsi="宋体" w:cs="宋体" w:hint="eastAsia"/>
          <w:kern w:val="0"/>
          <w:sz w:val="24"/>
        </w:rPr>
        <w:t>GB1886.172-2016的要求，但质量不稳定导致的差异让应用企业无所适从，限制了迷迭香作为安全高效抗氧化剂的应用，因此本标准的制定，</w:t>
      </w:r>
      <w:r>
        <w:rPr>
          <w:rFonts w:ascii="宋体" w:eastAsia="宋体" w:hAnsi="宋体" w:cs="宋体" w:hint="eastAsia"/>
          <w:sz w:val="24"/>
        </w:rPr>
        <w:t>能满足国内外不断</w:t>
      </w:r>
      <w:r>
        <w:rPr>
          <w:rFonts w:ascii="宋体" w:eastAsia="宋体" w:hAnsi="宋体" w:cs="宋体" w:hint="eastAsia"/>
          <w:sz w:val="24"/>
        </w:rPr>
        <w:lastRenderedPageBreak/>
        <w:t>发展的市场需求，有利于为我国“迷迭香油”加工的发展提供了较高的技术平台，为“迷迭香油”的规模化生产及应用奠定了基础，延长了迷迭香天然抗氧化剂产业的产业链。</w:t>
      </w:r>
    </w:p>
    <w:p w:rsidR="00052CF6" w:rsidRDefault="0040770F">
      <w:pPr>
        <w:adjustRightInd w:val="0"/>
        <w:snapToGrid w:val="0"/>
        <w:spacing w:beforeLines="100" w:before="312" w:line="360" w:lineRule="auto"/>
        <w:ind w:firstLineChars="200" w:firstLine="482"/>
        <w:jc w:val="left"/>
        <w:rPr>
          <w:rFonts w:ascii="宋体" w:eastAsia="宋体" w:hAnsi="宋体"/>
          <w:sz w:val="24"/>
          <w:szCs w:val="24"/>
        </w:rPr>
      </w:pPr>
      <w:r>
        <w:rPr>
          <w:rFonts w:ascii="宋体" w:eastAsia="宋体" w:hAnsi="宋体" w:hint="eastAsia"/>
          <w:b/>
          <w:sz w:val="24"/>
          <w:szCs w:val="24"/>
        </w:rPr>
        <w:t>4．与国际、国外对比情况</w:t>
      </w:r>
      <w:r>
        <w:rPr>
          <w:rFonts w:ascii="宋体" w:eastAsia="宋体" w:hAnsi="宋体" w:hint="eastAsia"/>
          <w:sz w:val="24"/>
          <w:szCs w:val="24"/>
        </w:rPr>
        <w:t>（采用国际标准和国外先进标准的程度，以及与国际、国外同类标准水平的对比情况，或与测试的国外样品、样机的有关数据的对比情况等）</w:t>
      </w:r>
    </w:p>
    <w:p w:rsidR="00052CF6" w:rsidRDefault="0040770F">
      <w:pPr>
        <w:adjustRightInd w:val="0"/>
        <w:snapToGrid w:val="0"/>
        <w:spacing w:beforeLines="50" w:before="156"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参考国际食品法典委员会（</w:t>
      </w:r>
      <w:r>
        <w:rPr>
          <w:rFonts w:ascii="Times New Roman" w:eastAsia="宋体" w:hAnsi="Times New Roman" w:cs="Times New Roman" w:hint="eastAsia"/>
          <w:bCs/>
          <w:snapToGrid w:val="0"/>
          <w:sz w:val="24"/>
          <w:szCs w:val="24"/>
        </w:rPr>
        <w:t>CAC</w:t>
      </w:r>
      <w:r>
        <w:rPr>
          <w:rFonts w:ascii="Times New Roman" w:eastAsia="宋体" w:hAnsi="Times New Roman" w:cs="Times New Roman" w:hint="eastAsia"/>
          <w:bCs/>
          <w:snapToGrid w:val="0"/>
          <w:sz w:val="24"/>
          <w:szCs w:val="24"/>
        </w:rPr>
        <w:t>）</w:t>
      </w:r>
      <w:r>
        <w:rPr>
          <w:rFonts w:ascii="Times New Roman" w:eastAsia="宋体" w:hAnsi="Times New Roman" w:cs="Times New Roman" w:hint="eastAsia"/>
          <w:bCs/>
          <w:snapToGrid w:val="0"/>
          <w:sz w:val="24"/>
          <w:szCs w:val="24"/>
        </w:rPr>
        <w:t>CODEX-STAN210-2003</w:t>
      </w:r>
      <w:r>
        <w:rPr>
          <w:rFonts w:ascii="Times New Roman" w:eastAsia="宋体" w:hAnsi="Times New Roman" w:cs="Times New Roman" w:hint="eastAsia"/>
          <w:bCs/>
          <w:snapToGrid w:val="0"/>
          <w:sz w:val="24"/>
          <w:szCs w:val="24"/>
        </w:rPr>
        <w:t>（</w:t>
      </w:r>
      <w:r>
        <w:rPr>
          <w:rFonts w:ascii="Times New Roman" w:eastAsia="宋体" w:hAnsi="Times New Roman" w:cs="Times New Roman" w:hint="eastAsia"/>
          <w:bCs/>
          <w:snapToGrid w:val="0"/>
          <w:sz w:val="24"/>
          <w:szCs w:val="24"/>
        </w:rPr>
        <w:t>2005</w:t>
      </w:r>
      <w:r>
        <w:rPr>
          <w:rFonts w:ascii="Times New Roman" w:eastAsia="宋体" w:hAnsi="Times New Roman" w:cs="Times New Roman" w:hint="eastAsia"/>
          <w:bCs/>
          <w:snapToGrid w:val="0"/>
          <w:sz w:val="24"/>
          <w:szCs w:val="24"/>
        </w:rPr>
        <w:t>）《指定的植物油法典标准》相关的指标。</w:t>
      </w:r>
    </w:p>
    <w:p w:rsidR="00052CF6" w:rsidRDefault="0040770F">
      <w:pPr>
        <w:numPr>
          <w:ilvl w:val="0"/>
          <w:numId w:val="3"/>
        </w:numPr>
        <w:adjustRightInd w:val="0"/>
        <w:snapToGrid w:val="0"/>
        <w:spacing w:beforeLines="100" w:before="312" w:line="360" w:lineRule="auto"/>
        <w:ind w:firstLineChars="200" w:firstLine="482"/>
        <w:jc w:val="left"/>
        <w:rPr>
          <w:rFonts w:ascii="宋体" w:eastAsia="宋体" w:hAnsi="宋体"/>
          <w:sz w:val="24"/>
          <w:szCs w:val="24"/>
        </w:rPr>
      </w:pPr>
      <w:bookmarkStart w:id="4" w:name="_GoBack"/>
      <w:bookmarkEnd w:id="4"/>
      <w:r>
        <w:rPr>
          <w:rFonts w:ascii="宋体" w:eastAsia="宋体" w:hAnsi="宋体" w:hint="eastAsia"/>
          <w:b/>
          <w:sz w:val="24"/>
          <w:szCs w:val="24"/>
        </w:rPr>
        <w:t>与有关的现行法律、法规和强制性国家标准的关系</w:t>
      </w:r>
      <w:r>
        <w:rPr>
          <w:rFonts w:ascii="宋体" w:eastAsia="宋体" w:hAnsi="宋体" w:hint="eastAsia"/>
          <w:sz w:val="24"/>
          <w:szCs w:val="24"/>
        </w:rPr>
        <w:t>（简要说明标准与法律、法规、标准的协调性）</w:t>
      </w:r>
    </w:p>
    <w:p w:rsidR="00052CF6" w:rsidRDefault="0040770F">
      <w:pPr>
        <w:adjustRightInd w:val="0"/>
        <w:snapToGrid w:val="0"/>
        <w:spacing w:beforeLines="50" w:before="156"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本标准的修订，符合《食用植物油卫生标准》、《食品添加剂使用卫生标准》等强制性、推荐性标准。</w:t>
      </w:r>
    </w:p>
    <w:p w:rsidR="00052CF6" w:rsidRDefault="0040770F">
      <w:pPr>
        <w:adjustRightInd w:val="0"/>
        <w:snapToGrid w:val="0"/>
        <w:spacing w:beforeLines="100" w:before="312" w:line="360" w:lineRule="auto"/>
        <w:ind w:firstLineChars="200" w:firstLine="482"/>
        <w:jc w:val="left"/>
        <w:rPr>
          <w:rFonts w:ascii="宋体" w:eastAsia="宋体" w:hAnsi="宋体"/>
          <w:sz w:val="24"/>
          <w:szCs w:val="24"/>
        </w:rPr>
      </w:pPr>
      <w:r>
        <w:rPr>
          <w:rFonts w:ascii="宋体" w:eastAsia="宋体" w:hAnsi="宋体" w:hint="eastAsia"/>
          <w:b/>
          <w:sz w:val="24"/>
          <w:szCs w:val="24"/>
        </w:rPr>
        <w:t>6．重大分歧意见的处理经过和依据</w:t>
      </w:r>
      <w:r>
        <w:rPr>
          <w:rFonts w:ascii="宋体" w:eastAsia="宋体" w:hAnsi="宋体" w:hint="eastAsia"/>
          <w:sz w:val="24"/>
          <w:szCs w:val="24"/>
        </w:rPr>
        <w:t>（主要适用于矛盾、分歧较大的意见，处理结果与处理依据的说明；如没有，写“无”）</w:t>
      </w:r>
    </w:p>
    <w:p w:rsidR="00052CF6" w:rsidRDefault="0040770F">
      <w:pPr>
        <w:adjustRightInd w:val="0"/>
        <w:snapToGrid w:val="0"/>
        <w:spacing w:line="360" w:lineRule="auto"/>
        <w:ind w:firstLineChars="200" w:firstLine="480"/>
        <w:jc w:val="left"/>
        <w:rPr>
          <w:rFonts w:ascii="宋体" w:eastAsia="宋体" w:hAnsi="宋体"/>
          <w:b/>
          <w:sz w:val="24"/>
          <w:szCs w:val="24"/>
        </w:rPr>
      </w:pPr>
      <w:r>
        <w:rPr>
          <w:rFonts w:ascii="宋体" w:eastAsia="宋体" w:hAnsi="宋体" w:hint="eastAsia"/>
          <w:sz w:val="24"/>
          <w:szCs w:val="24"/>
        </w:rPr>
        <w:t>无。</w:t>
      </w:r>
    </w:p>
    <w:p w:rsidR="00052CF6" w:rsidRDefault="0040770F">
      <w:pPr>
        <w:adjustRightInd w:val="0"/>
        <w:snapToGrid w:val="0"/>
        <w:spacing w:beforeLines="100" w:before="312" w:line="360" w:lineRule="auto"/>
        <w:ind w:firstLineChars="200" w:firstLine="482"/>
        <w:jc w:val="left"/>
        <w:rPr>
          <w:rFonts w:ascii="宋体" w:eastAsia="宋体" w:hAnsi="宋体"/>
          <w:b/>
          <w:sz w:val="24"/>
          <w:szCs w:val="24"/>
        </w:rPr>
      </w:pPr>
      <w:r>
        <w:rPr>
          <w:rFonts w:ascii="宋体" w:eastAsia="宋体" w:hAnsi="宋体" w:hint="eastAsia"/>
          <w:b/>
          <w:sz w:val="24"/>
          <w:szCs w:val="24"/>
        </w:rPr>
        <w:t>7．标准作为推荐性标准的建议</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本标准的贯彻实施对于规范迷迭香油市场，提高迷迭香油食用安全和营养水平，指导生产发展，提高迷迭香产业化科技水平具有重要意义，因此，建议采取有力措施进行本标准的宣贯实施，在各有关迷迭香油的科研、生产、加工、销售等环节实施本标准，并授权有关油料油脂质检机构监督检查标准的实施情况，充分发挥质检机构技术优势和监督职能。</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建议将本标准作为推荐性标准尽快发布实施。</w:t>
      </w:r>
    </w:p>
    <w:p w:rsidR="00052CF6" w:rsidRDefault="0040770F">
      <w:pPr>
        <w:adjustRightInd w:val="0"/>
        <w:snapToGrid w:val="0"/>
        <w:spacing w:beforeLines="100" w:before="312" w:line="360" w:lineRule="auto"/>
        <w:ind w:firstLineChars="200" w:firstLine="482"/>
        <w:jc w:val="left"/>
        <w:rPr>
          <w:rFonts w:ascii="宋体" w:eastAsia="宋体" w:hAnsi="宋体"/>
          <w:sz w:val="24"/>
          <w:szCs w:val="24"/>
        </w:rPr>
      </w:pPr>
      <w:r>
        <w:rPr>
          <w:rFonts w:ascii="宋体" w:eastAsia="宋体" w:hAnsi="宋体" w:hint="eastAsia"/>
          <w:b/>
          <w:sz w:val="24"/>
          <w:szCs w:val="24"/>
        </w:rPr>
        <w:t>8．贯彻标准的要求和措施建议</w:t>
      </w:r>
      <w:r>
        <w:rPr>
          <w:rFonts w:ascii="宋体" w:eastAsia="宋体" w:hAnsi="宋体" w:hint="eastAsia"/>
          <w:sz w:val="24"/>
          <w:szCs w:val="24"/>
        </w:rPr>
        <w:t>（包括组织措施、技术措施、过渡办法等）</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1</w:t>
      </w:r>
      <w:r>
        <w:rPr>
          <w:rFonts w:ascii="Times New Roman" w:eastAsia="宋体" w:hAnsi="Times New Roman" w:cs="Times New Roman" w:hint="eastAsia"/>
          <w:bCs/>
          <w:snapToGrid w:val="0"/>
          <w:sz w:val="24"/>
          <w:szCs w:val="24"/>
        </w:rPr>
        <w:t>）首先应在实施前保证文本的充足供应，让每个使用者都能及时得到文本。这是保证新标准贯彻实施的基础。</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2</w:t>
      </w:r>
      <w:r>
        <w:rPr>
          <w:rFonts w:ascii="Times New Roman" w:eastAsia="宋体" w:hAnsi="Times New Roman" w:cs="Times New Roman" w:hint="eastAsia"/>
          <w:bCs/>
          <w:snapToGrid w:val="0"/>
          <w:sz w:val="24"/>
          <w:szCs w:val="24"/>
        </w:rPr>
        <w:t>）发布后、实施前应将信息在媒体上广为宣传。</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lastRenderedPageBreak/>
        <w:t>3</w:t>
      </w:r>
      <w:r>
        <w:rPr>
          <w:rFonts w:ascii="Times New Roman" w:eastAsia="宋体" w:hAnsi="Times New Roman" w:cs="Times New Roman" w:hint="eastAsia"/>
          <w:bCs/>
          <w:snapToGrid w:val="0"/>
          <w:sz w:val="24"/>
          <w:szCs w:val="24"/>
        </w:rPr>
        <w:t>）本次制定，不仅与迷迭香油生产厂家有关，而且与每个迷迭香油消费者有关。对于使用过程中容易出现的疑问，要在媒体上撰文事先予以解释。</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4</w:t>
      </w:r>
      <w:r>
        <w:rPr>
          <w:rFonts w:ascii="Times New Roman" w:eastAsia="宋体" w:hAnsi="Times New Roman" w:cs="Times New Roman" w:hint="eastAsia"/>
          <w:bCs/>
          <w:snapToGrid w:val="0"/>
          <w:sz w:val="24"/>
          <w:szCs w:val="24"/>
        </w:rPr>
        <w:t>）要分别标准的不同使用对象，消费者、生产厂家、质量监管部门等，有侧重点地进行培训、宣传。</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5</w:t>
      </w:r>
      <w:r>
        <w:rPr>
          <w:rFonts w:ascii="Times New Roman" w:eastAsia="宋体" w:hAnsi="Times New Roman" w:cs="Times New Roman" w:hint="eastAsia"/>
          <w:bCs/>
          <w:snapToGrid w:val="0"/>
          <w:sz w:val="24"/>
          <w:szCs w:val="24"/>
        </w:rPr>
        <w:t>）实施的过渡期宜定为</w:t>
      </w:r>
      <w:r>
        <w:rPr>
          <w:rFonts w:ascii="Times New Roman" w:eastAsia="宋体" w:hAnsi="Times New Roman" w:cs="Times New Roman" w:hint="eastAsia"/>
          <w:bCs/>
          <w:snapToGrid w:val="0"/>
          <w:sz w:val="24"/>
          <w:szCs w:val="24"/>
        </w:rPr>
        <w:t>6</w:t>
      </w:r>
      <w:r>
        <w:rPr>
          <w:rFonts w:ascii="Times New Roman" w:eastAsia="宋体" w:hAnsi="Times New Roman" w:cs="Times New Roman" w:hint="eastAsia"/>
          <w:bCs/>
          <w:snapToGrid w:val="0"/>
          <w:sz w:val="24"/>
          <w:szCs w:val="24"/>
        </w:rPr>
        <w:t>个月。</w:t>
      </w:r>
    </w:p>
    <w:p w:rsidR="00052CF6" w:rsidRDefault="0040770F">
      <w:pPr>
        <w:adjustRightInd w:val="0"/>
        <w:snapToGrid w:val="0"/>
        <w:spacing w:line="360" w:lineRule="auto"/>
        <w:ind w:firstLineChars="200" w:firstLine="480"/>
        <w:jc w:val="left"/>
        <w:rPr>
          <w:rFonts w:ascii="Times New Roman" w:eastAsia="宋体" w:hAnsi="Times New Roman" w:cs="Times New Roman"/>
          <w:bCs/>
          <w:snapToGrid w:val="0"/>
          <w:sz w:val="24"/>
          <w:szCs w:val="24"/>
        </w:rPr>
      </w:pPr>
      <w:r>
        <w:rPr>
          <w:rFonts w:ascii="Times New Roman" w:eastAsia="宋体" w:hAnsi="Times New Roman" w:cs="Times New Roman" w:hint="eastAsia"/>
          <w:bCs/>
          <w:snapToGrid w:val="0"/>
          <w:sz w:val="24"/>
          <w:szCs w:val="24"/>
        </w:rPr>
        <w:t>6</w:t>
      </w:r>
      <w:r>
        <w:rPr>
          <w:rFonts w:ascii="Times New Roman" w:eastAsia="宋体" w:hAnsi="Times New Roman" w:cs="Times New Roman" w:hint="eastAsia"/>
          <w:bCs/>
          <w:snapToGrid w:val="0"/>
          <w:sz w:val="24"/>
          <w:szCs w:val="24"/>
        </w:rPr>
        <w:t>）建议质量监督部门加强对强制性指标的监测。</w:t>
      </w:r>
    </w:p>
    <w:p w:rsidR="00052CF6" w:rsidRDefault="0040770F">
      <w:pPr>
        <w:adjustRightInd w:val="0"/>
        <w:snapToGrid w:val="0"/>
        <w:spacing w:beforeLines="100" w:before="312" w:line="360" w:lineRule="auto"/>
        <w:ind w:firstLineChars="200" w:firstLine="482"/>
        <w:jc w:val="left"/>
        <w:rPr>
          <w:rFonts w:ascii="宋体" w:eastAsia="宋体" w:hAnsi="宋体"/>
          <w:sz w:val="24"/>
          <w:szCs w:val="24"/>
        </w:rPr>
      </w:pPr>
      <w:r>
        <w:rPr>
          <w:rFonts w:ascii="宋体" w:eastAsia="宋体" w:hAnsi="宋体" w:hint="eastAsia"/>
          <w:b/>
          <w:sz w:val="24"/>
          <w:szCs w:val="24"/>
        </w:rPr>
        <w:t>9．废止现行有关标准的建议</w:t>
      </w:r>
      <w:r>
        <w:rPr>
          <w:rFonts w:ascii="宋体" w:eastAsia="宋体" w:hAnsi="宋体" w:hint="eastAsia"/>
          <w:sz w:val="24"/>
          <w:szCs w:val="24"/>
        </w:rPr>
        <w:t>（修订时，应说明新旧标准的替代关系；如制定，写“无”）</w:t>
      </w:r>
    </w:p>
    <w:p w:rsidR="00052CF6" w:rsidRDefault="0040770F">
      <w:pPr>
        <w:adjustRightInd w:val="0"/>
        <w:snapToGrid w:val="0"/>
        <w:spacing w:line="360" w:lineRule="auto"/>
        <w:ind w:firstLineChars="200" w:firstLine="480"/>
        <w:jc w:val="left"/>
        <w:rPr>
          <w:rFonts w:ascii="宋体" w:eastAsia="宋体" w:hAnsi="宋体"/>
          <w:b/>
          <w:sz w:val="24"/>
          <w:szCs w:val="24"/>
        </w:rPr>
      </w:pPr>
      <w:r>
        <w:rPr>
          <w:rFonts w:ascii="宋体" w:eastAsia="宋体" w:hAnsi="宋体" w:hint="eastAsia"/>
          <w:sz w:val="24"/>
          <w:szCs w:val="24"/>
        </w:rPr>
        <w:t>无。</w:t>
      </w:r>
    </w:p>
    <w:p w:rsidR="00052CF6" w:rsidRDefault="0040770F">
      <w:pPr>
        <w:adjustRightInd w:val="0"/>
        <w:snapToGrid w:val="0"/>
        <w:spacing w:beforeLines="100" w:before="312" w:line="360" w:lineRule="auto"/>
        <w:ind w:firstLineChars="200" w:firstLine="482"/>
        <w:jc w:val="left"/>
        <w:rPr>
          <w:rFonts w:ascii="宋体" w:eastAsia="宋体" w:hAnsi="宋体"/>
          <w:sz w:val="24"/>
          <w:szCs w:val="24"/>
        </w:rPr>
      </w:pPr>
      <w:r>
        <w:rPr>
          <w:rFonts w:ascii="宋体" w:eastAsia="宋体" w:hAnsi="宋体" w:hint="eastAsia"/>
          <w:b/>
          <w:sz w:val="24"/>
          <w:szCs w:val="24"/>
        </w:rPr>
        <w:t>10．其他应予说明的事项</w:t>
      </w:r>
      <w:r>
        <w:rPr>
          <w:rFonts w:ascii="宋体" w:eastAsia="宋体" w:hAnsi="宋体" w:hint="eastAsia"/>
          <w:sz w:val="24"/>
          <w:szCs w:val="24"/>
        </w:rPr>
        <w:t>（陈述是否涉及专利及有关说明、本标准编制阶段与原计划有差异情况说明及原因等）</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hint="eastAsia"/>
          <w:sz w:val="24"/>
          <w:szCs w:val="24"/>
        </w:rPr>
        <w:t>无。</w:t>
      </w:r>
    </w:p>
    <w:p w:rsidR="00052CF6" w:rsidRDefault="0040770F">
      <w:pPr>
        <w:adjustRightInd w:val="0"/>
        <w:snapToGrid w:val="0"/>
        <w:spacing w:beforeLines="100" w:before="312" w:line="360" w:lineRule="auto"/>
        <w:ind w:firstLineChars="200" w:firstLine="482"/>
        <w:jc w:val="left"/>
        <w:rPr>
          <w:rFonts w:ascii="宋体" w:eastAsia="宋体" w:hAnsi="宋体"/>
          <w:b/>
          <w:sz w:val="24"/>
          <w:szCs w:val="24"/>
        </w:rPr>
      </w:pPr>
      <w:r>
        <w:rPr>
          <w:rFonts w:ascii="宋体" w:eastAsia="宋体" w:hAnsi="宋体" w:hint="eastAsia"/>
          <w:b/>
          <w:sz w:val="24"/>
          <w:szCs w:val="24"/>
        </w:rPr>
        <w:t>11．附录</w:t>
      </w:r>
      <w:r>
        <w:rPr>
          <w:rFonts w:ascii="宋体" w:eastAsia="宋体" w:hAnsi="宋体" w:hint="eastAsia"/>
          <w:sz w:val="24"/>
          <w:szCs w:val="24"/>
        </w:rPr>
        <w:t>（如没有，写“无”）</w:t>
      </w:r>
    </w:p>
    <w:p w:rsidR="00052CF6" w:rsidRDefault="0040770F">
      <w:pPr>
        <w:adjustRightInd w:val="0"/>
        <w:snapToGrid w:val="0"/>
        <w:spacing w:line="360" w:lineRule="auto"/>
        <w:ind w:firstLineChars="200" w:firstLine="480"/>
        <w:jc w:val="left"/>
        <w:rPr>
          <w:rFonts w:ascii="宋体" w:eastAsia="宋体" w:hAnsi="宋体"/>
          <w:sz w:val="24"/>
          <w:szCs w:val="24"/>
        </w:rPr>
      </w:pPr>
      <w:r>
        <w:rPr>
          <w:rFonts w:ascii="宋体" w:eastAsia="宋体" w:hAnsi="宋体" w:hint="eastAsia"/>
          <w:sz w:val="24"/>
          <w:szCs w:val="24"/>
        </w:rPr>
        <w:t>无。</w:t>
      </w:r>
    </w:p>
    <w:p w:rsidR="00052CF6" w:rsidRDefault="00052CF6">
      <w:pPr>
        <w:adjustRightInd w:val="0"/>
        <w:snapToGrid w:val="0"/>
        <w:spacing w:line="360" w:lineRule="auto"/>
        <w:jc w:val="left"/>
        <w:rPr>
          <w:rFonts w:ascii="宋体" w:eastAsia="宋体" w:hAnsi="宋体"/>
          <w:sz w:val="24"/>
          <w:szCs w:val="24"/>
        </w:rPr>
      </w:pPr>
    </w:p>
    <w:p w:rsidR="00052CF6" w:rsidRDefault="00052CF6">
      <w:pPr>
        <w:adjustRightInd w:val="0"/>
        <w:snapToGrid w:val="0"/>
        <w:spacing w:line="360" w:lineRule="auto"/>
        <w:jc w:val="left"/>
        <w:rPr>
          <w:rFonts w:ascii="宋体" w:eastAsia="宋体" w:hAnsi="宋体"/>
          <w:sz w:val="24"/>
          <w:szCs w:val="24"/>
        </w:rPr>
      </w:pPr>
    </w:p>
    <w:p w:rsidR="00052CF6" w:rsidRDefault="00052CF6">
      <w:pPr>
        <w:adjustRightInd w:val="0"/>
        <w:snapToGrid w:val="0"/>
        <w:spacing w:line="360" w:lineRule="auto"/>
        <w:jc w:val="left"/>
        <w:rPr>
          <w:rFonts w:ascii="宋体" w:eastAsia="宋体" w:hAnsi="宋体"/>
          <w:sz w:val="24"/>
          <w:szCs w:val="24"/>
        </w:rPr>
      </w:pPr>
    </w:p>
    <w:p w:rsidR="00052CF6" w:rsidRDefault="0040770F">
      <w:pPr>
        <w:adjustRightInd w:val="0"/>
        <w:snapToGrid w:val="0"/>
        <w:spacing w:line="360" w:lineRule="auto"/>
        <w:ind w:firstLineChars="1300" w:firstLine="3640"/>
        <w:jc w:val="left"/>
        <w:rPr>
          <w:rFonts w:ascii="宋体" w:eastAsia="宋体" w:hAnsi="宋体"/>
          <w:sz w:val="28"/>
          <w:szCs w:val="28"/>
        </w:rPr>
      </w:pPr>
      <w:r>
        <w:rPr>
          <w:rFonts w:ascii="宋体" w:eastAsia="宋体" w:hAnsi="宋体" w:hint="eastAsia"/>
          <w:sz w:val="28"/>
          <w:szCs w:val="28"/>
        </w:rPr>
        <w:t>《迷迭香油》粮食行业标准起草组</w:t>
      </w:r>
    </w:p>
    <w:p w:rsidR="00052CF6" w:rsidRDefault="0040770F">
      <w:pPr>
        <w:adjustRightInd w:val="0"/>
        <w:snapToGrid w:val="0"/>
        <w:spacing w:line="360" w:lineRule="auto"/>
        <w:ind w:firstLineChars="1800" w:firstLine="504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2024</w:t>
      </w:r>
      <w:r>
        <w:rPr>
          <w:rFonts w:ascii="Times New Roman" w:eastAsia="宋体" w:hAnsi="宋体" w:cs="Times New Roman"/>
          <w:sz w:val="28"/>
          <w:szCs w:val="28"/>
        </w:rPr>
        <w:t>年</w:t>
      </w:r>
      <w:r>
        <w:rPr>
          <w:rFonts w:ascii="Times New Roman" w:eastAsia="宋体" w:hAnsi="Times New Roman" w:cs="Times New Roman" w:hint="eastAsia"/>
          <w:sz w:val="28"/>
          <w:szCs w:val="28"/>
        </w:rPr>
        <w:t>1</w:t>
      </w:r>
      <w:r>
        <w:rPr>
          <w:rFonts w:ascii="Times New Roman" w:eastAsia="宋体" w:hAnsi="宋体" w:cs="Times New Roman"/>
          <w:sz w:val="28"/>
          <w:szCs w:val="28"/>
        </w:rPr>
        <w:t>月</w:t>
      </w:r>
      <w:r>
        <w:rPr>
          <w:rFonts w:ascii="Times New Roman" w:eastAsia="宋体" w:hAnsi="Times New Roman" w:cs="Times New Roman" w:hint="eastAsia"/>
          <w:sz w:val="28"/>
          <w:szCs w:val="28"/>
        </w:rPr>
        <w:t>31</w:t>
      </w:r>
      <w:r>
        <w:rPr>
          <w:rFonts w:ascii="Times New Roman" w:eastAsia="宋体" w:hAnsi="宋体" w:cs="Times New Roman"/>
          <w:sz w:val="28"/>
          <w:szCs w:val="28"/>
        </w:rPr>
        <w:t>日</w:t>
      </w:r>
    </w:p>
    <w:p w:rsidR="00052CF6" w:rsidRDefault="00052CF6">
      <w:pPr>
        <w:adjustRightInd w:val="0"/>
        <w:snapToGrid w:val="0"/>
        <w:spacing w:line="360" w:lineRule="auto"/>
        <w:jc w:val="left"/>
        <w:rPr>
          <w:rFonts w:ascii="宋体" w:eastAsia="宋体" w:hAnsi="宋体"/>
          <w:sz w:val="24"/>
          <w:szCs w:val="24"/>
        </w:rPr>
      </w:pPr>
    </w:p>
    <w:p w:rsidR="00052CF6" w:rsidRDefault="00052CF6">
      <w:pPr>
        <w:adjustRightInd w:val="0"/>
        <w:snapToGrid w:val="0"/>
        <w:jc w:val="left"/>
        <w:rPr>
          <w:rFonts w:ascii="宋体" w:eastAsia="宋体" w:hAnsi="宋体"/>
          <w:sz w:val="24"/>
          <w:szCs w:val="24"/>
        </w:rPr>
      </w:pPr>
    </w:p>
    <w:p w:rsidR="00052CF6" w:rsidRDefault="00052CF6">
      <w:pPr>
        <w:adjustRightInd w:val="0"/>
        <w:snapToGrid w:val="0"/>
        <w:spacing w:line="360" w:lineRule="auto"/>
        <w:jc w:val="left"/>
        <w:rPr>
          <w:rFonts w:ascii="宋体" w:eastAsia="宋体" w:hAnsi="宋体"/>
          <w:sz w:val="24"/>
          <w:szCs w:val="24"/>
        </w:rPr>
      </w:pPr>
    </w:p>
    <w:sectPr w:rsidR="00052CF6">
      <w:headerReference w:type="even" r:id="rId10"/>
      <w:headerReference w:type="default" r:id="rId11"/>
      <w:footerReference w:type="default" r:id="rId12"/>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B89" w:rsidRDefault="00AA4B89">
      <w:r>
        <w:separator/>
      </w:r>
    </w:p>
  </w:endnote>
  <w:endnote w:type="continuationSeparator" w:id="0">
    <w:p w:rsidR="00AA4B89" w:rsidRDefault="00AA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黑体_GBK">
    <w:altName w:val="微软雅黑"/>
    <w:charset w:val="86"/>
    <w:family w:val="script"/>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9156685"/>
    </w:sdtPr>
    <w:sdtEndPr/>
    <w:sdtContent>
      <w:p w:rsidR="00052CF6" w:rsidRDefault="0040770F">
        <w:pPr>
          <w:pStyle w:val="a4"/>
          <w:jc w:val="center"/>
        </w:pPr>
        <w:r>
          <w:fldChar w:fldCharType="begin"/>
        </w:r>
        <w:r>
          <w:instrText>PAGE   \* MERGEFORMAT</w:instrText>
        </w:r>
        <w:r>
          <w:fldChar w:fldCharType="separate"/>
        </w:r>
        <w:r w:rsidR="002A679C" w:rsidRPr="002A679C">
          <w:rPr>
            <w:noProof/>
            <w:lang w:val="zh-CN"/>
          </w:rPr>
          <w:t>13</w:t>
        </w:r>
        <w:r>
          <w:fldChar w:fldCharType="end"/>
        </w:r>
      </w:p>
    </w:sdtContent>
  </w:sdt>
  <w:p w:rsidR="00052CF6" w:rsidRDefault="00052CF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B89" w:rsidRDefault="00AA4B89">
      <w:r>
        <w:separator/>
      </w:r>
    </w:p>
  </w:footnote>
  <w:footnote w:type="continuationSeparator" w:id="0">
    <w:p w:rsidR="00AA4B89" w:rsidRDefault="00AA4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F6" w:rsidRDefault="00052CF6">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CF6" w:rsidRDefault="00052CF6">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34D881"/>
    <w:multiLevelType w:val="singleLevel"/>
    <w:tmpl w:val="8234D881"/>
    <w:lvl w:ilvl="0">
      <w:start w:val="1"/>
      <w:numFmt w:val="lowerLetter"/>
      <w:lvlText w:val="%1."/>
      <w:lvlJc w:val="left"/>
      <w:pPr>
        <w:ind w:left="425" w:hanging="425"/>
      </w:pPr>
      <w:rPr>
        <w:rFonts w:hint="default"/>
      </w:rPr>
    </w:lvl>
  </w:abstractNum>
  <w:abstractNum w:abstractNumId="1">
    <w:nsid w:val="A2D5FBBF"/>
    <w:multiLevelType w:val="singleLevel"/>
    <w:tmpl w:val="A2D5FBBF"/>
    <w:lvl w:ilvl="0">
      <w:start w:val="5"/>
      <w:numFmt w:val="decimal"/>
      <w:suff w:val="nothing"/>
      <w:lvlText w:val="%1．"/>
      <w:lvlJc w:val="left"/>
    </w:lvl>
  </w:abstractNum>
  <w:abstractNum w:abstractNumId="2">
    <w:nsid w:val="CE7C3F12"/>
    <w:multiLevelType w:val="singleLevel"/>
    <w:tmpl w:val="CE7C3F12"/>
    <w:lvl w:ilvl="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RkNTI5MTFkZTNjZDcxMTdkZjBkYzE5NDk4MjFhOTcifQ=="/>
  </w:docVars>
  <w:rsids>
    <w:rsidRoot w:val="00A52461"/>
    <w:rsid w:val="00002185"/>
    <w:rsid w:val="00002F5F"/>
    <w:rsid w:val="00014CA7"/>
    <w:rsid w:val="000153DA"/>
    <w:rsid w:val="00030888"/>
    <w:rsid w:val="000365F5"/>
    <w:rsid w:val="000374C9"/>
    <w:rsid w:val="00052CF6"/>
    <w:rsid w:val="000565FF"/>
    <w:rsid w:val="000567EE"/>
    <w:rsid w:val="00062B5B"/>
    <w:rsid w:val="000A1A4A"/>
    <w:rsid w:val="000B1056"/>
    <w:rsid w:val="00105FE7"/>
    <w:rsid w:val="001124DF"/>
    <w:rsid w:val="001264F5"/>
    <w:rsid w:val="001437BF"/>
    <w:rsid w:val="0014440F"/>
    <w:rsid w:val="001568FF"/>
    <w:rsid w:val="00157D12"/>
    <w:rsid w:val="001A122F"/>
    <w:rsid w:val="001B04E7"/>
    <w:rsid w:val="001B4ADA"/>
    <w:rsid w:val="001D32DC"/>
    <w:rsid w:val="002310FF"/>
    <w:rsid w:val="00236E20"/>
    <w:rsid w:val="00242B01"/>
    <w:rsid w:val="00261FD8"/>
    <w:rsid w:val="0027275A"/>
    <w:rsid w:val="002851A6"/>
    <w:rsid w:val="00285CFC"/>
    <w:rsid w:val="002A20F6"/>
    <w:rsid w:val="002A2B42"/>
    <w:rsid w:val="002A679C"/>
    <w:rsid w:val="002B7AB1"/>
    <w:rsid w:val="002D557E"/>
    <w:rsid w:val="002D5A90"/>
    <w:rsid w:val="002E1BFB"/>
    <w:rsid w:val="002E2B0B"/>
    <w:rsid w:val="0032642C"/>
    <w:rsid w:val="00347803"/>
    <w:rsid w:val="0036592B"/>
    <w:rsid w:val="00384574"/>
    <w:rsid w:val="00386ED3"/>
    <w:rsid w:val="00392CA1"/>
    <w:rsid w:val="003C216F"/>
    <w:rsid w:val="003E3FDD"/>
    <w:rsid w:val="003E46B4"/>
    <w:rsid w:val="003F5B06"/>
    <w:rsid w:val="0040770F"/>
    <w:rsid w:val="0045408F"/>
    <w:rsid w:val="004557D4"/>
    <w:rsid w:val="0046021E"/>
    <w:rsid w:val="00475950"/>
    <w:rsid w:val="00487E8D"/>
    <w:rsid w:val="004C2A91"/>
    <w:rsid w:val="004C5C2A"/>
    <w:rsid w:val="004C61A3"/>
    <w:rsid w:val="004D0E12"/>
    <w:rsid w:val="00506696"/>
    <w:rsid w:val="00515FCE"/>
    <w:rsid w:val="00533A11"/>
    <w:rsid w:val="00562389"/>
    <w:rsid w:val="00572CE2"/>
    <w:rsid w:val="005A0044"/>
    <w:rsid w:val="005A035A"/>
    <w:rsid w:val="005A41C8"/>
    <w:rsid w:val="005A7E9F"/>
    <w:rsid w:val="005D0690"/>
    <w:rsid w:val="005D0F0E"/>
    <w:rsid w:val="005D3CFC"/>
    <w:rsid w:val="005D4440"/>
    <w:rsid w:val="005E4D26"/>
    <w:rsid w:val="00611B29"/>
    <w:rsid w:val="00615671"/>
    <w:rsid w:val="00620F91"/>
    <w:rsid w:val="00622718"/>
    <w:rsid w:val="006363A5"/>
    <w:rsid w:val="0063683C"/>
    <w:rsid w:val="006459C2"/>
    <w:rsid w:val="00663F7A"/>
    <w:rsid w:val="00667F21"/>
    <w:rsid w:val="0067588B"/>
    <w:rsid w:val="006940BE"/>
    <w:rsid w:val="00695A25"/>
    <w:rsid w:val="006A3B65"/>
    <w:rsid w:val="006D5C84"/>
    <w:rsid w:val="007044C1"/>
    <w:rsid w:val="00747EEA"/>
    <w:rsid w:val="00773D62"/>
    <w:rsid w:val="0078602F"/>
    <w:rsid w:val="007A3AB3"/>
    <w:rsid w:val="007B437A"/>
    <w:rsid w:val="007B74A7"/>
    <w:rsid w:val="007C2F74"/>
    <w:rsid w:val="007E6507"/>
    <w:rsid w:val="007F0414"/>
    <w:rsid w:val="00810D4D"/>
    <w:rsid w:val="008241C3"/>
    <w:rsid w:val="008275A0"/>
    <w:rsid w:val="00865660"/>
    <w:rsid w:val="008770A2"/>
    <w:rsid w:val="008853DA"/>
    <w:rsid w:val="00893CBD"/>
    <w:rsid w:val="008A0F7A"/>
    <w:rsid w:val="008A7187"/>
    <w:rsid w:val="008B1561"/>
    <w:rsid w:val="008C1A9D"/>
    <w:rsid w:val="008C1B50"/>
    <w:rsid w:val="008C3C6B"/>
    <w:rsid w:val="008C60A5"/>
    <w:rsid w:val="008D0361"/>
    <w:rsid w:val="008E0509"/>
    <w:rsid w:val="00923E38"/>
    <w:rsid w:val="00951660"/>
    <w:rsid w:val="00962E36"/>
    <w:rsid w:val="009827E5"/>
    <w:rsid w:val="009978B7"/>
    <w:rsid w:val="009A35C4"/>
    <w:rsid w:val="009A76BE"/>
    <w:rsid w:val="009C693C"/>
    <w:rsid w:val="009E42A2"/>
    <w:rsid w:val="009E64E3"/>
    <w:rsid w:val="009F6060"/>
    <w:rsid w:val="009F610C"/>
    <w:rsid w:val="00A27A2A"/>
    <w:rsid w:val="00A33FD0"/>
    <w:rsid w:val="00A35F25"/>
    <w:rsid w:val="00A52461"/>
    <w:rsid w:val="00A6032E"/>
    <w:rsid w:val="00A65A3D"/>
    <w:rsid w:val="00A676F1"/>
    <w:rsid w:val="00A767BF"/>
    <w:rsid w:val="00AA133A"/>
    <w:rsid w:val="00AA4B89"/>
    <w:rsid w:val="00B04F2E"/>
    <w:rsid w:val="00B465FA"/>
    <w:rsid w:val="00B5268B"/>
    <w:rsid w:val="00BC6636"/>
    <w:rsid w:val="00BD2F58"/>
    <w:rsid w:val="00BE5906"/>
    <w:rsid w:val="00BF59E5"/>
    <w:rsid w:val="00BF65F2"/>
    <w:rsid w:val="00BF6742"/>
    <w:rsid w:val="00C05866"/>
    <w:rsid w:val="00C164DA"/>
    <w:rsid w:val="00C235A4"/>
    <w:rsid w:val="00C66D0D"/>
    <w:rsid w:val="00C7125C"/>
    <w:rsid w:val="00C8713C"/>
    <w:rsid w:val="00CB415E"/>
    <w:rsid w:val="00CB7F07"/>
    <w:rsid w:val="00CC537B"/>
    <w:rsid w:val="00CD4F82"/>
    <w:rsid w:val="00CF0FD6"/>
    <w:rsid w:val="00D06E5E"/>
    <w:rsid w:val="00D10014"/>
    <w:rsid w:val="00D324C7"/>
    <w:rsid w:val="00D7528F"/>
    <w:rsid w:val="00D832B0"/>
    <w:rsid w:val="00D91923"/>
    <w:rsid w:val="00D95E6B"/>
    <w:rsid w:val="00DA4901"/>
    <w:rsid w:val="00DA5411"/>
    <w:rsid w:val="00DE0F81"/>
    <w:rsid w:val="00DE3071"/>
    <w:rsid w:val="00DF70BC"/>
    <w:rsid w:val="00E00D3D"/>
    <w:rsid w:val="00E1780C"/>
    <w:rsid w:val="00E25E13"/>
    <w:rsid w:val="00E42044"/>
    <w:rsid w:val="00E45B8B"/>
    <w:rsid w:val="00E569B4"/>
    <w:rsid w:val="00E56BB2"/>
    <w:rsid w:val="00E57C0B"/>
    <w:rsid w:val="00E73AFD"/>
    <w:rsid w:val="00E8761D"/>
    <w:rsid w:val="00E916EE"/>
    <w:rsid w:val="00EA06F5"/>
    <w:rsid w:val="00EA1A2F"/>
    <w:rsid w:val="00EA2F0A"/>
    <w:rsid w:val="00EA2FA3"/>
    <w:rsid w:val="00EB2563"/>
    <w:rsid w:val="00EC544B"/>
    <w:rsid w:val="00EC69AF"/>
    <w:rsid w:val="00ED4AF7"/>
    <w:rsid w:val="00EE0A53"/>
    <w:rsid w:val="00EF1E5A"/>
    <w:rsid w:val="00F14B50"/>
    <w:rsid w:val="00F32E81"/>
    <w:rsid w:val="00F512AB"/>
    <w:rsid w:val="00F913E0"/>
    <w:rsid w:val="00F94D6C"/>
    <w:rsid w:val="00F97C1C"/>
    <w:rsid w:val="00FE5780"/>
    <w:rsid w:val="00FF077D"/>
    <w:rsid w:val="00FF4788"/>
    <w:rsid w:val="05A03115"/>
    <w:rsid w:val="1B3610F7"/>
    <w:rsid w:val="4B8836CD"/>
    <w:rsid w:val="56A972C3"/>
    <w:rsid w:val="6B460047"/>
    <w:rsid w:val="6D212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673317-1D48-4893-AE22-D45B6B92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autoRedefine/>
    <w:uiPriority w:val="99"/>
    <w:semiHidden/>
    <w:qFormat/>
    <w:rPr>
      <w:sz w:val="18"/>
      <w:szCs w:val="18"/>
    </w:rPr>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uiPriority w:val="99"/>
    <w:qFormat/>
    <w:rPr>
      <w:sz w:val="18"/>
      <w:szCs w:val="18"/>
    </w:rPr>
  </w:style>
  <w:style w:type="paragraph" w:styleId="a7">
    <w:name w:val="List Paragraph"/>
    <w:basedOn w:val="a"/>
    <w:autoRedefine/>
    <w:uiPriority w:val="34"/>
    <w:qFormat/>
    <w:pPr>
      <w:ind w:firstLineChars="200" w:firstLine="420"/>
    </w:pPr>
  </w:style>
  <w:style w:type="paragraph" w:customStyle="1" w:styleId="a8">
    <w:name w:val="黑黑黑"/>
    <w:basedOn w:val="a"/>
    <w:autoRedefine/>
    <w:qFormat/>
    <w:pPr>
      <w:adjustRightInd w:val="0"/>
      <w:snapToGrid w:val="0"/>
      <w:spacing w:line="566" w:lineRule="exact"/>
      <w:ind w:firstLineChars="200" w:firstLine="640"/>
      <w:outlineLvl w:val="1"/>
    </w:pPr>
    <w:rPr>
      <w:rFonts w:ascii="方正黑体_GBK" w:eastAsia="方正黑体_GBK"/>
      <w:snapToGrid w:val="0"/>
      <w:szCs w:val="32"/>
    </w:rPr>
  </w:style>
  <w:style w:type="character" w:customStyle="1" w:styleId="font01">
    <w:name w:val="font01"/>
    <w:basedOn w:val="a0"/>
    <w:rPr>
      <w:rFonts w:ascii="宋体" w:eastAsia="宋体" w:hAnsi="宋体" w:cs="宋体" w:hint="eastAsia"/>
      <w:color w:val="000000"/>
      <w:sz w:val="24"/>
      <w:szCs w:val="24"/>
      <w:u w:val="none"/>
    </w:rPr>
  </w:style>
  <w:style w:type="paragraph" w:customStyle="1" w:styleId="a9">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EndNoteBibliography">
    <w:name w:val="EndNote Bibliography"/>
    <w:basedOn w:val="a"/>
    <w:autoRedefine/>
    <w:qFormat/>
    <w:rPr>
      <w:rFonts w:ascii="Calibri" w:hAnsi="Calibri"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___1.xls"/><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8C7A0-15CE-4A0C-A4AE-1E667C32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1846</Words>
  <Characters>10524</Characters>
  <Application>Microsoft Office Word</Application>
  <DocSecurity>0</DocSecurity>
  <Lines>87</Lines>
  <Paragraphs>24</Paragraphs>
  <ScaleCrop>false</ScaleCrop>
  <Company>Microsoft</Company>
  <LinksUpToDate>false</LinksUpToDate>
  <CharactersWithSpaces>12346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PC</cp:lastModifiedBy>
  <cp:revision>132</cp:revision>
  <cp:lastPrinted>2019-08-23T10:01:00Z</cp:lastPrinted>
  <dcterms:created xsi:type="dcterms:W3CDTF">2019-08-23T14:54:00Z</dcterms:created>
  <dcterms:modified xsi:type="dcterms:W3CDTF">2024-02-01T03:47:00Z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0312BC97F59E4C4498158FBC83EB95B7_12</vt:lpwstr>
  </property>
</Properties>
</file>